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Технические требования </w:t>
      </w:r>
      <w:r>
        <w:rPr>
          <w:rFonts w:eastAsia="Calibri"/>
          <w:b/>
          <w:sz w:val="26"/>
          <w:szCs w:val="26"/>
        </w:rPr>
        <w:t xml:space="preserve">на поставку </w:t>
      </w:r>
      <w:r>
        <w:rPr>
          <w:rFonts w:eastAsia="Calibri"/>
          <w:b/>
          <w:sz w:val="26"/>
          <w:szCs w:val="26"/>
        </w:rPr>
        <w:t xml:space="preserve">МТР</w:t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  <w:r>
        <w:rPr>
          <w:rFonts w:eastAsia="Calibri"/>
          <w:b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i/>
          <w:sz w:val="26"/>
          <w:szCs w:val="26"/>
        </w:rPr>
      </w:pPr>
      <w:r>
        <w:rPr>
          <w:b/>
          <w:i/>
          <w:iCs/>
          <w:color w:val="000000"/>
          <w:sz w:val="26"/>
          <w:szCs w:val="26"/>
        </w:rPr>
        <w:t xml:space="preserve">ОКПД2: 20.16.20.120 Поставка наполнителя для декарбонизатора для нужд структурных подразделений в Хабаровском крае</w:t>
      </w: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</w:p>
    <w:p>
      <w:pPr>
        <w:jc w:val="center"/>
        <w:keepLines/>
        <w:keepNext/>
        <w:rPr>
          <w:rFonts w:eastAsia="Calibri"/>
          <w:bCs/>
          <w:sz w:val="26"/>
          <w:szCs w:val="26"/>
        </w:rPr>
      </w:pPr>
      <w:r>
        <w:rPr>
          <w:iCs/>
          <w:color w:val="000000"/>
          <w:sz w:val="26"/>
          <w:szCs w:val="26"/>
        </w:rPr>
        <w:t xml:space="preserve">42016153-ЭКСП ПРОД-2026-ДГК </w:t>
      </w:r>
      <w:r>
        <w:rPr>
          <w:rFonts w:eastAsia="Calibri"/>
          <w:bCs/>
          <w:sz w:val="26"/>
          <w:szCs w:val="26"/>
        </w:rPr>
      </w:r>
      <w:r>
        <w:rPr>
          <w:rFonts w:eastAsia="Calibri"/>
          <w:bCs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</w:p>
    <w:p>
      <w:pPr>
        <w:jc w:val="center"/>
        <w:keepLines/>
        <w:keepNext/>
        <w:rPr>
          <w:rFonts w:eastAsia="Calibri"/>
          <w:b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  <w:r>
        <w:rPr>
          <w:rFonts w:eastAsia="Calibri"/>
          <w:b/>
          <w:i/>
          <w:sz w:val="26"/>
          <w:szCs w:val="26"/>
        </w:rPr>
      </w:r>
    </w:p>
    <w:p>
      <w:pPr>
        <w:rPr>
          <w:sz w:val="26"/>
          <w:szCs w:val="26"/>
        </w:rPr>
      </w:pPr>
      <w:r>
        <w:rPr>
          <w:sz w:val="26"/>
          <w:szCs w:val="26"/>
        </w:rPr>
        <w:br w:type="page" w:clear="all"/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b/>
        </w:rPr>
      </w:pPr>
      <w:r>
        <w:rPr>
          <w:b/>
        </w:rPr>
        <w:t xml:space="preserve">СОДЕРЖАНИЕ</w:t>
      </w:r>
      <w:r>
        <w:rPr>
          <w:b/>
        </w:rPr>
      </w:r>
      <w:r>
        <w:rPr>
          <w:b/>
        </w:rPr>
      </w:r>
    </w:p>
    <w:p>
      <w:pPr>
        <w:pStyle w:val="890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>
        <w:rPr>
          <w:rFonts w:cstheme="majorHAnsi"/>
          <w:b w:val="0"/>
          <w:i/>
        </w:rPr>
        <w:fldChar w:fldCharType="begin"/>
      </w:r>
      <w:r>
        <w:rPr>
          <w:rFonts w:cstheme="majorHAnsi"/>
          <w:b w:val="0"/>
          <w:i/>
        </w:rPr>
        <w:instrText xml:space="preserve"> TOC \o "1-4" \h \z \u </w:instrText>
      </w:r>
      <w:r>
        <w:rPr>
          <w:rFonts w:cstheme="majorHAnsi"/>
          <w:b w:val="0"/>
          <w:i/>
        </w:rPr>
        <w:fldChar w:fldCharType="separate"/>
      </w:r>
      <w:hyperlink w:tooltip="#_Toc158904853" w:anchor="_Toc158904853" w:history="1">
        <w:r>
          <w:rPr>
            <w:rStyle w:val="892"/>
          </w:rPr>
          <w:t xml:space="preserve">1.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892"/>
          </w:rPr>
          <w:t xml:space="preserve">Общие сведения</w:t>
        </w:r>
        <w:r>
          <w:tab/>
        </w:r>
        <w:r>
          <w:fldChar w:fldCharType="begin"/>
        </w:r>
        <w:r>
          <w:instrText xml:space="preserve"> PAGEREF _Toc158904853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903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58904854" w:anchor="_Toc158904854" w:history="1">
        <w:r>
          <w:rPr>
            <w:rStyle w:val="892"/>
            <w:iCs/>
          </w:rPr>
          <w:t xml:space="preserve">1.1.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892"/>
          </w:rPr>
          <w:t xml:space="preserve">Обозначения и сокращения</w:t>
        </w:r>
        <w:r>
          <w:tab/>
        </w:r>
        <w:r>
          <w:fldChar w:fldCharType="begin"/>
        </w:r>
        <w:r>
          <w:instrText xml:space="preserve"> PAGEREF _Toc158904854 \h </w:instrText>
        </w:r>
        <w:r>
          <w:fldChar w:fldCharType="separate"/>
        </w:r>
        <w:r>
          <w:t xml:space="preserve">3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903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58904855" w:anchor="_Toc158904855" w:history="1">
        <w:r>
          <w:rPr>
            <w:rStyle w:val="892"/>
            <w:iCs/>
          </w:rPr>
          <w:t xml:space="preserve">1.2.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892"/>
          </w:rPr>
          <w:t xml:space="preserve">Наименование закупаемой продукции</w:t>
        </w:r>
        <w:r>
          <w:tab/>
        </w:r>
        <w:r>
          <w:fldChar w:fldCharType="begin"/>
        </w:r>
        <w:r>
          <w:instrText xml:space="preserve"> PAGEREF _Toc158904855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903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58904856" w:anchor="_Toc158904856" w:history="1">
        <w:r>
          <w:rPr>
            <w:rStyle w:val="892"/>
            <w:iCs/>
          </w:rPr>
          <w:t xml:space="preserve">1.3.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892"/>
          </w:rPr>
          <w:t xml:space="preserve">Цель использования закупаемой продукции:</w:t>
        </w:r>
        <w:r>
          <w:tab/>
        </w:r>
        <w:r>
          <w:fldChar w:fldCharType="begin"/>
        </w:r>
        <w:r>
          <w:instrText xml:space="preserve"> PAGEREF _Toc158904856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890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58904857" w:anchor="_Toc158904857" w:history="1">
        <w:r>
          <w:rPr>
            <w:rStyle w:val="892"/>
          </w:rPr>
          <w:t xml:space="preserve">2.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892"/>
            <w:iCs/>
          </w:rPr>
          <w:t xml:space="preserve">Требования к продукции</w:t>
        </w:r>
        <w:r>
          <w:tab/>
        </w:r>
        <w:r>
          <w:fldChar w:fldCharType="begin"/>
        </w:r>
        <w:r>
          <w:instrText xml:space="preserve"> PAGEREF _Toc158904857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903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58904858" w:anchor="_Toc158904858" w:history="1">
        <w:r>
          <w:rPr>
            <w:rStyle w:val="892"/>
            <w:iCs/>
          </w:rPr>
          <w:t xml:space="preserve">2.1.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892"/>
          </w:rPr>
          <w:t xml:space="preserve">Требования к объемам и срокам поставки</w:t>
        </w:r>
        <w:r>
          <w:tab/>
        </w:r>
        <w:r>
          <w:fldChar w:fldCharType="begin"/>
        </w:r>
        <w:r>
          <w:instrText xml:space="preserve"> PAGEREF _Toc158904858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903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58904859" w:anchor="_Toc158904859" w:history="1">
        <w:r>
          <w:rPr>
            <w:rStyle w:val="892"/>
            <w:iCs/>
          </w:rPr>
          <w:t xml:space="preserve">2.2.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892"/>
          </w:rPr>
          <w:t xml:space="preserve">Перечень и объем закупаемой продукции</w:t>
        </w:r>
        <w:r>
          <w:tab/>
        </w:r>
        <w:r>
          <w:fldChar w:fldCharType="begin"/>
        </w:r>
        <w:r>
          <w:instrText xml:space="preserve"> PAGEREF _Toc158904859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903"/>
        <w:tabs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58904860" w:anchor="_Toc158904860" w:history="1">
        <w:r>
          <w:rPr>
            <w:rStyle w:val="892"/>
          </w:rPr>
          <w:t xml:space="preserve">Таблица 1.1 Перечень и объем закупаемой продукции</w:t>
        </w:r>
        <w:r>
          <w:tab/>
        </w:r>
        <w:r>
          <w:fldChar w:fldCharType="begin"/>
        </w:r>
        <w:r>
          <w:instrText xml:space="preserve"> PAGEREF _Toc158904860 \h 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903"/>
        <w:tabs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58904861" w:anchor="_Toc158904861" w:history="1">
        <w:r>
          <w:rPr>
            <w:rStyle w:val="892"/>
          </w:rPr>
          <w:t xml:space="preserve">Таблица 2.1 Требования по срокам поставки продукции</w:t>
        </w:r>
        <w:r>
          <w:tab/>
        </w:r>
        <w:r>
          <w:fldChar w:fldCharType="begin"/>
        </w:r>
        <w:r>
          <w:instrText xml:space="preserve"> PAGEREF _Toc158904861 \h 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903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58904862" w:anchor="_Toc158904862" w:history="1">
        <w:r>
          <w:rPr>
            <w:rStyle w:val="892"/>
            <w:iCs/>
          </w:rPr>
          <w:t xml:space="preserve">2.3.</w:t>
        </w:r>
        <w:r>
          <w:rPr>
            <w:rFonts w:asciiTheme="minorHAnsi" w:hAnsiTheme="minorHAnsi" w:eastAsiaTheme="minorEastAsia" w:cstheme="minorBidi"/>
            <w:sz w:val="22"/>
            <w:szCs w:val="22"/>
          </w:rPr>
          <w:tab/>
        </w:r>
        <w:r>
          <w:rPr>
            <w:rStyle w:val="892"/>
          </w:rPr>
          <w:t xml:space="preserve">Требования к качеству продукции</w:t>
        </w:r>
        <w:r>
          <w:tab/>
        </w:r>
        <w:r>
          <w:fldChar w:fldCharType="begin"/>
        </w:r>
        <w:r>
          <w:instrText xml:space="preserve"> PAGEREF _Toc158904862 \h 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903"/>
        <w:tabs>
          <w:tab w:val="right" w:pos="9911" w:leader="dot"/>
        </w:tabs>
        <w:rPr>
          <w:rFonts w:asciiTheme="minorHAnsi" w:hAnsiTheme="minorHAnsi" w:eastAsiaTheme="minorEastAsia" w:cstheme="minorBidi"/>
          <w:sz w:val="22"/>
          <w:szCs w:val="22"/>
        </w:rPr>
      </w:pPr>
      <w:r/>
      <w:hyperlink w:tooltip="#_Toc158904863" w:anchor="_Toc158904863" w:history="1">
        <w:r>
          <w:rPr>
            <w:rStyle w:val="892"/>
          </w:rPr>
          <w:t xml:space="preserve">Таблица 3. Требования к продукции</w:t>
        </w:r>
        <w:r>
          <w:tab/>
        </w:r>
        <w:r>
          <w:fldChar w:fldCharType="begin"/>
        </w:r>
        <w:r>
          <w:instrText xml:space="preserve"> PAGEREF _Toc158904863 \h 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sz w:val="22"/>
          <w:szCs w:val="22"/>
        </w:rPr>
      </w:r>
      <w:r>
        <w:rPr>
          <w:rFonts w:asciiTheme="minorHAnsi" w:hAnsiTheme="minorHAnsi" w:eastAsiaTheme="minorEastAsia" w:cstheme="minorBidi"/>
          <w:sz w:val="22"/>
          <w:szCs w:val="22"/>
        </w:rPr>
      </w:r>
    </w:p>
    <w:p>
      <w:pPr>
        <w:pStyle w:val="890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58904864" w:anchor="_Toc158904864" w:history="1">
        <w:r>
          <w:rPr>
            <w:rStyle w:val="892"/>
          </w:rPr>
          <w:t xml:space="preserve">3.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892"/>
            <w:iCs/>
          </w:rPr>
          <w:t xml:space="preserve">Требования к документации по ценообразованию на этапе закупки.</w:t>
        </w:r>
        <w:r>
          <w:tab/>
        </w:r>
        <w:r>
          <w:fldChar w:fldCharType="begin"/>
        </w:r>
        <w:r>
          <w:instrText xml:space="preserve"> PAGEREF _Toc158904864 \h 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890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pPr>
      <w:r/>
      <w:hyperlink w:tooltip="#_Toc158904865" w:anchor="_Toc158904865" w:history="1">
        <w:r>
          <w:rPr>
            <w:rStyle w:val="892"/>
          </w:rPr>
          <w:t xml:space="preserve">4.</w:t>
        </w:r>
        <w:r>
          <w:rPr>
            <w:rFonts w:asciiTheme="minorHAnsi" w:hAnsiTheme="minorHAnsi" w:eastAsiaTheme="minorEastAsia" w:cstheme="minorBidi"/>
            <w:b w:val="0"/>
            <w:bCs w:val="0"/>
            <w:sz w:val="22"/>
            <w:szCs w:val="22"/>
          </w:rPr>
          <w:tab/>
        </w:r>
        <w:r>
          <w:rPr>
            <w:rStyle w:val="892"/>
            <w:iCs/>
          </w:rPr>
          <w:t xml:space="preserve">Приложения.</w:t>
        </w:r>
        <w:r>
          <w:tab/>
        </w:r>
        <w:r>
          <w:fldChar w:fldCharType="begin"/>
        </w:r>
        <w:r>
          <w:instrText xml:space="preserve"> PAGEREF _Toc158904865 \h 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  <w:r>
        <w:rPr>
          <w:rFonts w:asciiTheme="minorHAnsi" w:hAnsiTheme="minorHAnsi" w:eastAsiaTheme="minorEastAsia" w:cstheme="minorBidi"/>
          <w:b w:val="0"/>
          <w:bCs w:val="0"/>
          <w:sz w:val="22"/>
          <w:szCs w:val="22"/>
        </w:rPr>
      </w:r>
    </w:p>
    <w:p>
      <w:pPr>
        <w:pStyle w:val="857"/>
        <w:numPr>
          <w:ilvl w:val="0"/>
          <w:numId w:val="0"/>
        </w:numPr>
        <w:ind w:left="284"/>
        <w:rPr>
          <w:b w:val="0"/>
          <w:i/>
          <w:sz w:val="20"/>
          <w:szCs w:val="20"/>
        </w:rPr>
      </w:pPr>
      <w:r>
        <w:rPr>
          <w:rFonts w:eastAsia="Times New Roman" w:cstheme="majorHAnsi"/>
          <w:b w:val="0"/>
          <w:i/>
          <w:lang w:val="ru-RU" w:eastAsia="ru-RU"/>
        </w:rPr>
        <w:fldChar w:fldCharType="end"/>
      </w:r>
      <w:r>
        <w:rPr>
          <w:b w:val="0"/>
          <w:i/>
          <w:sz w:val="20"/>
          <w:szCs w:val="20"/>
        </w:rPr>
        <w:t xml:space="preserve"> </w:t>
      </w:r>
      <w:r>
        <w:rPr>
          <w:b w:val="0"/>
          <w:i/>
          <w:sz w:val="20"/>
          <w:szCs w:val="20"/>
        </w:rPr>
      </w:r>
      <w:r>
        <w:rPr>
          <w:b w:val="0"/>
          <w:i/>
          <w:sz w:val="20"/>
          <w:szCs w:val="20"/>
        </w:rPr>
      </w:r>
    </w:p>
    <w:p>
      <w:pPr>
        <w:pStyle w:val="857"/>
        <w:numPr>
          <w:ilvl w:val="0"/>
          <w:numId w:val="0"/>
        </w:numPr>
        <w:rPr>
          <w:b w:val="0"/>
          <w:i/>
          <w:sz w:val="20"/>
          <w:szCs w:val="20"/>
          <w:lang w:val="ru-RU"/>
        </w:rPr>
      </w:pPr>
      <w:r>
        <w:rPr>
          <w:b w:val="0"/>
          <w:i/>
          <w:sz w:val="20"/>
          <w:szCs w:val="20"/>
        </w:rPr>
        <w:br w:type="page" w:clear="all"/>
      </w:r>
      <w:r>
        <w:rPr>
          <w:b w:val="0"/>
          <w:i/>
          <w:sz w:val="20"/>
          <w:szCs w:val="20"/>
          <w:lang w:val="ru-RU"/>
        </w:rPr>
      </w:r>
      <w:r>
        <w:rPr>
          <w:b w:val="0"/>
          <w:i/>
          <w:sz w:val="20"/>
          <w:szCs w:val="20"/>
          <w:lang w:val="ru-RU"/>
        </w:rPr>
      </w:r>
    </w:p>
    <w:p>
      <w:pPr>
        <w:pStyle w:val="856"/>
        <w:ind w:left="357" w:hanging="357"/>
        <w:jc w:val="center"/>
        <w:keepLines/>
        <w:rPr>
          <w:caps/>
          <w:lang w:val="ru-RU"/>
        </w:rPr>
      </w:pPr>
      <w:r/>
      <w:bookmarkStart w:id="0" w:name="_Toc51339692"/>
      <w:r/>
      <w:bookmarkStart w:id="1" w:name="_Toc158904853"/>
      <w:r>
        <w:rPr>
          <w:lang w:val="ru-RU"/>
        </w:rPr>
        <w:t xml:space="preserve">Общие сведения</w:t>
      </w:r>
      <w:bookmarkEnd w:id="0"/>
      <w:r/>
      <w:bookmarkEnd w:id="1"/>
      <w:r>
        <w:rPr>
          <w:caps/>
          <w:lang w:val="ru-RU"/>
        </w:rPr>
      </w:r>
      <w:r>
        <w:rPr>
          <w:caps/>
          <w:lang w:val="ru-RU"/>
        </w:rPr>
      </w:r>
    </w:p>
    <w:p>
      <w:pPr>
        <w:pStyle w:val="859"/>
      </w:pPr>
      <w:r/>
      <w:bookmarkStart w:id="2" w:name="_Toc46743505"/>
      <w:r/>
      <w:bookmarkStart w:id="3" w:name="_Toc158904854"/>
      <w:r>
        <w:t xml:space="preserve">Обозначения и сокращения</w:t>
      </w:r>
      <w:bookmarkEnd w:id="2"/>
      <w:r/>
      <w:bookmarkEnd w:id="3"/>
      <w:r/>
      <w:r/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</w:trPr>
        <w:tc>
          <w:tcPr>
            <w:shd w:val="clear" w:color="auto" w:fill="auto"/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53"/>
                <w:b w:val="0"/>
                <w:bCs/>
                <w:iCs/>
                <w:sz w:val="24"/>
                <w:szCs w:val="24"/>
              </w:rPr>
            </w:pPr>
            <w:r>
              <w:rPr>
                <w:rStyle w:val="953"/>
                <w:b w:val="0"/>
                <w:bCs/>
                <w:iCs/>
                <w:sz w:val="24"/>
                <w:szCs w:val="24"/>
                <w:shd w:val="clear" w:color="auto" w:fill="ffffff" w:themeFill="background1"/>
              </w:rPr>
              <w:t xml:space="preserve">ГОСТ</w:t>
            </w:r>
            <w:r>
              <w:rPr>
                <w:rStyle w:val="953"/>
                <w:b w:val="0"/>
                <w:bCs/>
                <w:iCs/>
                <w:sz w:val="24"/>
                <w:szCs w:val="24"/>
              </w:rPr>
            </w:r>
            <w:r>
              <w:rPr>
                <w:rStyle w:val="953"/>
                <w:b w:val="0"/>
                <w:bCs/>
                <w:iCs/>
                <w:sz w:val="24"/>
                <w:szCs w:val="24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53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Style w:val="953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 xml:space="preserve">Государственный стандарт</w:t>
            </w:r>
            <w:r>
              <w:rPr>
                <w:rStyle w:val="953"/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rStyle w:val="953"/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auto"/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53"/>
                <w:b w:val="0"/>
                <w:bCs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953"/>
                <w:b w:val="0"/>
                <w:bCs/>
                <w:iCs/>
                <w:sz w:val="24"/>
                <w:szCs w:val="24"/>
                <w:shd w:val="clear" w:color="auto" w:fill="ffffff" w:themeFill="background1"/>
              </w:rPr>
              <w:t xml:space="preserve">СТО</w:t>
            </w:r>
            <w:r>
              <w:rPr>
                <w:rStyle w:val="953"/>
                <w:b w:val="0"/>
                <w:bCs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953"/>
                <w:b w:val="0"/>
                <w:bCs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53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rStyle w:val="953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 xml:space="preserve">Стандарт организации</w:t>
            </w:r>
            <w:r>
              <w:rPr>
                <w:rStyle w:val="953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r>
            <w:r>
              <w:rPr>
                <w:rStyle w:val="953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auto"/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53"/>
                <w:b w:val="0"/>
                <w:bCs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953"/>
                <w:b w:val="0"/>
                <w:bCs/>
                <w:iCs/>
                <w:sz w:val="24"/>
                <w:szCs w:val="24"/>
                <w:shd w:val="clear" w:color="auto" w:fill="ffffff" w:themeFill="background1"/>
              </w:rPr>
              <w:t xml:space="preserve">ВТИ</w:t>
            </w:r>
            <w:r>
              <w:rPr>
                <w:rStyle w:val="953"/>
                <w:b w:val="0"/>
                <w:bCs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953"/>
                <w:b w:val="0"/>
                <w:bCs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53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rStyle w:val="953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 xml:space="preserve">Всероссийский технический институт</w:t>
            </w:r>
            <w:r>
              <w:rPr>
                <w:rStyle w:val="953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r>
            <w:r>
              <w:rPr>
                <w:rStyle w:val="953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auto"/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53"/>
                <w:b w:val="0"/>
                <w:bCs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953"/>
                <w:b w:val="0"/>
                <w:bCs/>
                <w:iCs/>
                <w:sz w:val="24"/>
                <w:szCs w:val="24"/>
                <w:shd w:val="clear" w:color="auto" w:fill="ffffff" w:themeFill="background1"/>
              </w:rPr>
              <w:t xml:space="preserve">ПТЭ</w:t>
            </w:r>
            <w:r>
              <w:rPr>
                <w:rStyle w:val="953"/>
                <w:b w:val="0"/>
                <w:bCs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953"/>
                <w:b w:val="0"/>
                <w:bCs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shd w:val="clear" w:color="auto" w:fill="auto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53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rStyle w:val="953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 xml:space="preserve">Правила технической эксплуатации электрических станций и сетей Российской Федерации</w:t>
            </w:r>
            <w:r>
              <w:rPr>
                <w:rStyle w:val="953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r>
            <w:r>
              <w:rPr>
                <w:rStyle w:val="953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r>
          </w:p>
        </w:tc>
      </w:tr>
    </w:tbl>
    <w:tbl>
      <w:tblPr>
        <w:tblStyle w:val="866"/>
        <w:tblW w:w="978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</w:t>
            </w:r>
            <w:r>
              <w:rPr>
                <w:rFonts w:hint="default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719</w:t>
            </w:r>
            <w:r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r>
            <w:r>
              <w:rPr>
                <w:rFonts w:hint="default"/>
                <w:b w:val="0"/>
                <w:bCs/>
                <w:iCs/>
                <w:sz w:val="24"/>
                <w:szCs w:val="24"/>
                <w:lang w:val="ru-RU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cs="Times New Roman"/>
                <w:i w:val="0"/>
                <w:iCs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 xml:space="preserve">остановление Правительства Российской Федерации от 17 июля 2015 г. N 719 "О подтверждении производства российской промышленной продукции" 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1875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Постановление Правительства Российск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/>
                <w:caps w:val="0"/>
                <w:color w:val="auto"/>
                <w:spacing w:val="0"/>
                <w:sz w:val="24"/>
                <w:szCs w:val="24"/>
                <w:shd w:val="clear" w:color="auto" w:fill="ffffff"/>
              </w:rPr>
      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bookmarkStart w:id="4" w:name="_Toc4674350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9"/>
      </w:pPr>
      <w:r/>
      <w:bookmarkStart w:id="5" w:name="_Toc158904855"/>
      <w:r>
        <w:t xml:space="preserve">Наименование </w:t>
      </w:r>
      <w:r>
        <w:t xml:space="preserve">закупаемой продукции</w:t>
      </w:r>
      <w:bookmarkEnd w:id="4"/>
      <w:r/>
      <w:bookmarkEnd w:id="5"/>
      <w:r/>
      <w:r/>
    </w:p>
    <w:p>
      <w:pPr>
        <w:jc w:val="both"/>
        <w:spacing w:before="120" w:after="120"/>
        <w:widowControl w:val="off"/>
        <w:tabs>
          <w:tab w:val="left" w:pos="426" w:leader="none"/>
        </w:tabs>
        <w:rPr>
          <w:rStyle w:val="953"/>
          <w:b w:val="0"/>
          <w:bCs/>
          <w:i w:val="0"/>
          <w:iCs w:val="0"/>
          <w:sz w:val="24"/>
          <w:szCs w:val="24"/>
        </w:rPr>
      </w:pPr>
      <w:r>
        <w:rPr>
          <w:b/>
          <w:i w:val="0"/>
          <w:iCs w:val="0"/>
          <w:color w:val="000000"/>
          <w:sz w:val="24"/>
          <w:szCs w:val="24"/>
        </w:rPr>
      </w:r>
      <w:r>
        <w:rPr>
          <w:b/>
          <w:i w:val="0"/>
          <w:iCs w:val="0"/>
          <w:color w:val="000000"/>
          <w:sz w:val="26"/>
          <w:szCs w:val="26"/>
        </w:rPr>
        <w:t xml:space="preserve">ОКПД2: 20.16.20.120 Поставка наполнителя для декарбонизатора для нужд структурных подразделений в Хабаровском крае</w:t>
      </w:r>
      <w:r>
        <w:rPr>
          <w:b/>
          <w:i w:val="0"/>
          <w:iCs w:val="0"/>
          <w:color w:val="000000"/>
          <w:sz w:val="24"/>
          <w:szCs w:val="24"/>
        </w:rPr>
      </w:r>
      <w:r>
        <w:rPr>
          <w:rStyle w:val="953"/>
          <w:b w:val="0"/>
          <w:bCs/>
          <w:i w:val="0"/>
          <w:iCs w:val="0"/>
          <w:sz w:val="24"/>
          <w:szCs w:val="24"/>
        </w:rPr>
      </w:r>
    </w:p>
    <w:p>
      <w:pPr>
        <w:pStyle w:val="859"/>
        <w:ind w:left="431" w:hanging="431"/>
        <w:jc w:val="both"/>
        <w:spacing w:after="240"/>
        <w:widowControl w:val="off"/>
        <w:tabs>
          <w:tab w:val="left" w:pos="426" w:leader="none"/>
        </w:tabs>
        <w:rPr>
          <w:b w:val="0"/>
          <w:i/>
          <w:lang w:val="ru-RU"/>
        </w:rPr>
      </w:pPr>
      <w:r/>
      <w:bookmarkStart w:id="6" w:name="_Toc46743507"/>
      <w:r/>
      <w:bookmarkStart w:id="7" w:name="_Toc158904856"/>
      <w:r>
        <w:t xml:space="preserve">Цель </w:t>
      </w:r>
      <w:bookmarkEnd w:id="6"/>
      <w:r>
        <w:rPr>
          <w:lang w:val="ru-RU"/>
        </w:rPr>
        <w:t xml:space="preserve">использования закупаемой</w:t>
      </w:r>
      <w:r>
        <w:rPr>
          <w:lang w:val="ru-RU"/>
        </w:rPr>
        <w:t xml:space="preserve"> продукции</w:t>
      </w:r>
      <w:r>
        <w:rPr>
          <w:lang w:val="ru-RU"/>
        </w:rPr>
        <w:t xml:space="preserve">:</w:t>
      </w:r>
      <w:bookmarkEnd w:id="7"/>
      <w:r>
        <w:rPr>
          <w:lang w:val="ru-RU"/>
        </w:rPr>
        <w:t xml:space="preserve"> </w:t>
      </w:r>
      <w:r>
        <w:rPr>
          <w:b w:val="0"/>
          <w:i/>
          <w:lang w:val="ru-RU"/>
        </w:rPr>
      </w:r>
      <w:r>
        <w:rPr>
          <w:b w:val="0"/>
          <w:i/>
          <w:lang w:val="ru-RU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sz w:val="24"/>
          <w:szCs w:val="24"/>
          <w:highlight w:val="none"/>
        </w:rPr>
      </w:pPr>
      <w:r>
        <w:rPr>
          <w:sz w:val="24"/>
        </w:rPr>
        <w:t xml:space="preserve">Элементы наполнителя используются в декарбонизаторах для удаления </w:t>
      </w:r>
      <w:r>
        <w:rPr>
          <w:i/>
          <w:sz w:val="24"/>
        </w:rPr>
        <w:t xml:space="preserve">СО</w:t>
      </w:r>
      <w:r>
        <w:rPr>
          <w:i/>
          <w:sz w:val="24"/>
          <w:vertAlign w:val="subscript"/>
        </w:rPr>
        <w:t xml:space="preserve">2</w:t>
      </w:r>
      <w:r>
        <w:rPr>
          <w:sz w:val="24"/>
        </w:rPr>
        <w:t xml:space="preserve"> при подготовке химочищенной воды.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59"/>
        <w:rPr>
          <w:lang w:val="ru-RU"/>
        </w:rPr>
      </w:pPr>
      <w:r>
        <w:t xml:space="preserve">Иные требования и сведения общего характера</w:t>
      </w:r>
      <w:r>
        <w:rPr>
          <w:lang w:val="ru-RU"/>
        </w:rPr>
      </w:r>
      <w:r>
        <w:rPr>
          <w:lang w:val="ru-RU"/>
        </w:rPr>
      </w:r>
    </w:p>
    <w:p>
      <w:pPr>
        <w:pStyle w:val="856"/>
        <w:numPr>
          <w:ilvl w:val="0"/>
          <w:numId w:val="0"/>
        </w:numPr>
        <w:ind w:right="0" w:firstLine="0"/>
        <w:jc w:val="both"/>
        <w:keepLines w:val="0"/>
        <w:keepNext w:val="0"/>
        <w:spacing w:before="0" w:beforeAutospacing="0" w:after="255" w:afterAutospacing="0" w:line="240" w:lineRule="auto"/>
        <w:shd w:val="clear" w:color="auto" w:fill="ffffff"/>
        <w:widowControl/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lang w:val="ru-RU"/>
        </w:r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uppressLineNumbers w:val="0"/>
      </w:pPr>
      <w:r>
        <w:rPr>
          <w:rFonts w:hint="default" w:cs="Times New Roman" w:eastAsiaTheme="minorHAnsi"/>
          <w:b w:val="0"/>
          <w:bCs/>
          <w:i w:val="0"/>
          <w:iCs w:val="0"/>
          <w:color w:val="auto"/>
          <w:sz w:val="24"/>
          <w:szCs w:val="24"/>
          <w:lang w:val="ru-RU" w:eastAsia="en-US"/>
        </w:rPr>
        <w:t xml:space="preserve">Установлены т</w:t>
      </w:r>
      <w:r>
        <w:rPr>
          <w:rFonts w:hint="default" w:ascii="Times New Roman" w:hAnsi="Times New Roman" w:cs="Times New Roman" w:eastAsiaTheme="minorHAnsi"/>
          <w:b w:val="0"/>
          <w:bCs/>
          <w:i w:val="0"/>
          <w:iCs w:val="0"/>
          <w:color w:val="auto"/>
          <w:sz w:val="24"/>
          <w:szCs w:val="24"/>
          <w:lang w:eastAsia="en-US"/>
        </w:rPr>
        <w:t xml:space="preserve">ребовани</w:t>
      </w:r>
      <w:r>
        <w:rPr>
          <w:rFonts w:hint="default" w:cs="Times New Roman" w:eastAsiaTheme="minorHAnsi"/>
          <w:b w:val="0"/>
          <w:bCs/>
          <w:i w:val="0"/>
          <w:iCs w:val="0"/>
          <w:color w:val="auto"/>
          <w:sz w:val="24"/>
          <w:szCs w:val="24"/>
          <w:lang w:val="ru-RU" w:eastAsia="en-US"/>
        </w:rPr>
        <w:t xml:space="preserve">я</w:t>
      </w:r>
      <w:r>
        <w:rPr>
          <w:rFonts w:hint="default" w:ascii="Times New Roman" w:hAnsi="Times New Roman" w:cs="Times New Roman" w:eastAsiaTheme="minorHAnsi"/>
          <w:b w:val="0"/>
          <w:bCs/>
          <w:i w:val="0"/>
          <w:iCs w:val="0"/>
          <w:color w:val="auto"/>
          <w:sz w:val="24"/>
          <w:szCs w:val="24"/>
          <w:lang w:eastAsia="en-US"/>
        </w:rPr>
        <w:t xml:space="preserve"> к происхождению поставляемой продукции </w:t>
      </w:r>
      <w:r>
        <w:rPr>
          <w:rFonts w:hint="default" w:ascii="Times New Roman" w:hAnsi="Times New Roman" w:cs="Times New Roman" w:eastAsiaTheme="minorHAnsi"/>
          <w:b w:val="0"/>
          <w:bCs/>
          <w:i w:val="0"/>
          <w:iCs w:val="0"/>
          <w:color w:val="auto"/>
          <w:sz w:val="24"/>
          <w:szCs w:val="24"/>
          <w:lang w:val="ru-RU" w:eastAsia="en-US"/>
        </w:rPr>
        <w:t xml:space="preserve">в соответствии с 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Постановление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ru-RU"/>
        </w:rPr>
        <w:t xml:space="preserve">м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 Правительства Российск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</w:rPr>
        <w:t xml:space="preserve">ой Федерации от 23 декабря 2024 г. N 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shd w:val="clear" w:color="auto" w:fill="ffffff"/>
          <w:lang w:val="ru-RU"/>
        </w:rPr>
        <w:t xml:space="preserve"> (далее по тексту- ПП РФ № 1875)</w:t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lang w:val="ru-RU"/>
        </w:rPr>
      </w:r>
      <w:r>
        <w:rPr>
          <w:rFonts w:hint="default" w:ascii="Times New Roman" w:hAnsi="Times New Roman" w:cs="Times New Roman"/>
          <w:b w:val="0"/>
          <w:bCs/>
          <w:i w:val="0"/>
          <w:iCs w:val="0"/>
          <w:caps w:val="0"/>
          <w:color w:val="auto"/>
          <w:spacing w:val="0"/>
          <w:sz w:val="24"/>
          <w:szCs w:val="24"/>
          <w:lang w:val="ru-RU"/>
        </w:rPr>
      </w:r>
    </w:p>
    <w:p>
      <w:pPr>
        <w:jc w:val="both"/>
        <w:spacing w:before="120" w:after="120"/>
        <w:widowControl w:val="off"/>
        <w:tabs>
          <w:tab w:val="left" w:pos="426" w:leader="none"/>
        </w:tabs>
        <w:rPr>
          <w:bCs/>
          <w:sz w:val="24"/>
          <w:szCs w:val="24"/>
          <w:shd w:val="clear" w:color="auto" w:fill="ffff99"/>
        </w:rPr>
      </w:pPr>
      <w:r>
        <w:rPr>
          <w:bCs/>
          <w:sz w:val="24"/>
          <w:szCs w:val="24"/>
          <w:shd w:val="clear" w:color="auto" w:fill="ffff99"/>
        </w:rPr>
      </w:r>
      <w:r>
        <w:rPr>
          <w:bCs/>
          <w:sz w:val="24"/>
          <w:szCs w:val="24"/>
          <w:shd w:val="clear" w:color="auto" w:fill="ffff99"/>
        </w:rPr>
      </w:r>
      <w:r>
        <w:rPr>
          <w:bCs/>
          <w:sz w:val="24"/>
          <w:szCs w:val="24"/>
          <w:shd w:val="clear" w:color="auto" w:fill="ffff99"/>
        </w:rPr>
      </w:r>
    </w:p>
    <w:p>
      <w:pPr>
        <w:pStyle w:val="856"/>
        <w:ind w:left="357" w:hanging="357"/>
        <w:jc w:val="center"/>
        <w:keepLines/>
        <w:rPr>
          <w:iCs/>
          <w:caps/>
          <w:lang w:val="ru-RU"/>
        </w:rPr>
      </w:pPr>
      <w:r/>
      <w:bookmarkStart w:id="8" w:name="_Toc51339693"/>
      <w:r/>
      <w:bookmarkStart w:id="9" w:name="_Toc158904857"/>
      <w:r>
        <w:rPr>
          <w:iCs/>
        </w:rPr>
        <w:t xml:space="preserve">Требования к продукции</w:t>
      </w:r>
      <w:bookmarkEnd w:id="8"/>
      <w:r/>
      <w:bookmarkEnd w:id="9"/>
      <w:r>
        <w:rPr>
          <w:iCs/>
          <w:caps/>
          <w:lang w:val="ru-RU"/>
        </w:rPr>
      </w:r>
      <w:r>
        <w:rPr>
          <w:iCs/>
          <w:caps/>
          <w:lang w:val="ru-RU"/>
        </w:rPr>
      </w:r>
    </w:p>
    <w:p>
      <w:pPr>
        <w:pStyle w:val="859"/>
      </w:pPr>
      <w:r/>
      <w:bookmarkStart w:id="12" w:name="_Toc158904858"/>
      <w:r>
        <w:t xml:space="preserve">Требования к объемам и срокам </w:t>
      </w:r>
      <w:r>
        <w:rPr>
          <w:lang w:val="ru-RU"/>
        </w:rPr>
        <w:t xml:space="preserve">поставки</w:t>
      </w:r>
      <w:bookmarkEnd w:id="12"/>
      <w:r/>
      <w:r/>
    </w:p>
    <w:p>
      <w:pPr>
        <w:pStyle w:val="859"/>
      </w:pPr>
      <w:r/>
      <w:bookmarkStart w:id="13" w:name="_Toc158904859"/>
      <w:r>
        <w:t xml:space="preserve">Перечень и объем закупаемой продукции</w:t>
      </w:r>
      <w:bookmarkEnd w:id="13"/>
      <w:r/>
      <w:r/>
    </w:p>
    <w:p>
      <w:pPr>
        <w:pStyle w:val="859"/>
        <w:numPr>
          <w:ilvl w:val="0"/>
          <w:numId w:val="0"/>
        </w:numPr>
      </w:pPr>
      <w:r/>
      <w:bookmarkStart w:id="14" w:name="_Toc158904860"/>
      <w:r>
        <w:t xml:space="preserve">Таблица 1.1 Перечень и объем закупаемой продукции</w:t>
      </w:r>
      <w:bookmarkEnd w:id="14"/>
      <w:r>
        <w:t xml:space="preserve"> </w:t>
      </w:r>
      <w:r/>
    </w:p>
    <w:p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</w:r>
      <w:r>
        <w:rPr>
          <w:b/>
          <w:bCs/>
          <w:sz w:val="24"/>
          <w:szCs w:val="24"/>
          <w:u w:val="single"/>
        </w:rPr>
      </w:r>
      <w:r>
        <w:rPr>
          <w:b/>
          <w:bCs/>
          <w:sz w:val="24"/>
          <w:szCs w:val="24"/>
          <w:u w:val="single"/>
        </w:rPr>
      </w:r>
    </w:p>
    <w:p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Style w:val="879"/>
        <w:tblW w:w="9937" w:type="dxa"/>
        <w:tblLook w:val="04A0" w:firstRow="1" w:lastRow="0" w:firstColumn="1" w:lastColumn="0" w:noHBand="0" w:noVBand="1"/>
      </w:tblPr>
      <w:tblGrid>
        <w:gridCol w:w="782"/>
        <w:gridCol w:w="3150"/>
        <w:gridCol w:w="4206"/>
        <w:gridCol w:w="813"/>
        <w:gridCol w:w="986"/>
      </w:tblGrid>
      <w:tr>
        <w:tblPrEx/>
        <w:trPr>
          <w:trHeight w:val="720"/>
        </w:trPr>
        <w:tc>
          <w:tcPr>
            <w:tcW w:w="782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п\п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150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продукции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206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Тип, марка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813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Ед. изм.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986" w:type="dxa"/>
            <w:vAlign w:val="center"/>
            <w:textDirection w:val="lrTb"/>
            <w:noWrap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К-во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>
          <w:trHeight w:val="720"/>
        </w:trPr>
        <w:tc>
          <w:tcPr>
            <w:shd w:val="clear" w:color="000000" w:fill="ffffff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tcW w:w="782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5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Наполнитель для декарбонизатора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tcW w:w="4206" w:type="dxa"/>
            <w:vAlign w:val="center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ДАНПАК или эквивалент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tcW w:w="813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куб 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000000" w:fill="ffffff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tcW w:w="986" w:type="dxa"/>
            <w:vAlign w:val="center"/>
            <w:textDirection w:val="lrTb"/>
            <w:noWrap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9,0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Перечень и объем закупаемой продукции в разрезе грузополучателей указаны в Приложении №1 к настоящим Техническим требованиям (Таблица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.1 в формате «</w:t>
      </w:r>
      <w:r>
        <w:rPr>
          <w:bCs/>
          <w:sz w:val="24"/>
          <w:szCs w:val="24"/>
          <w:lang w:val="en-US"/>
        </w:rPr>
        <w:t xml:space="preserve">Excel</w:t>
      </w:r>
      <w:r>
        <w:rPr>
          <w:bCs/>
          <w:sz w:val="24"/>
          <w:szCs w:val="24"/>
        </w:rPr>
        <w:t xml:space="preserve">»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8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Для </w:t>
      </w:r>
      <w:r>
        <w:rPr>
          <w:bCs/>
          <w:sz w:val="24"/>
          <w:szCs w:val="24"/>
        </w:rPr>
        <w:t xml:space="preserve">продукции, указанной в Приложении № 1 к настоящим Техническим требованиям </w:t>
      </w:r>
      <w:r>
        <w:rPr>
          <w:sz w:val="24"/>
          <w:szCs w:val="24"/>
        </w:rPr>
        <w:t xml:space="preserve">(Таблица 1</w:t>
      </w:r>
      <w:r>
        <w:rPr>
          <w:sz w:val="24"/>
          <w:szCs w:val="24"/>
        </w:rPr>
        <w:t xml:space="preserve">.1 в формате «Excel»)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Участник должен принять во внимание, что ссылка на марку (тип) продукции, носит описательный</w:t>
      </w:r>
      <w:r>
        <w:rPr>
          <w:sz w:val="24"/>
          <w:szCs w:val="24"/>
        </w:rPr>
        <w:t xml:space="preserve">, а не обязательный характер.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случае, если Участником предл</w:t>
      </w:r>
      <w:r>
        <w:rPr>
          <w:sz w:val="24"/>
          <w:szCs w:val="24"/>
        </w:rPr>
        <w:t xml:space="preserve">агаются эквиваленты требуемой Заказчику продукции или ее составных частей, в составе своего предложения, он должен, в обязательном порядке предоставить подробное техническое описание предлагаемого к поставке эквивалента, в объеме, не менее установленных в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окументации о закупке требований</w:t>
      </w:r>
      <w:r>
        <w:rPr>
          <w:sz w:val="24"/>
          <w:szCs w:val="24"/>
        </w:rPr>
        <w:t xml:space="preserve"> (Таблица 3 </w:t>
      </w:r>
      <w:r>
        <w:rPr>
          <w:sz w:val="24"/>
          <w:szCs w:val="24"/>
        </w:rPr>
        <w:t xml:space="preserve">настоящих технических требований «</w:t>
      </w:r>
      <w:r>
        <w:rPr>
          <w:sz w:val="24"/>
          <w:szCs w:val="24"/>
        </w:rPr>
        <w:t xml:space="preserve">Дополнительные требования к составу заявки в случае предложения к поставке продукции-эквивалента</w:t>
      </w:r>
      <w:r>
        <w:rPr>
          <w:sz w:val="24"/>
          <w:szCs w:val="24"/>
        </w:rPr>
        <w:t xml:space="preserve">»)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Эквивалентная продукция</w:t>
      </w:r>
      <w:r>
        <w:rPr>
          <w:sz w:val="24"/>
          <w:szCs w:val="24"/>
        </w:rPr>
        <w:t xml:space="preserve"> - это продукция, которая по техническим и функциональным характеристикам не уступает характеристикам, заявленным в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окументации о закупке, в том числе, по гарантийным срокам и срокам эксплуатации.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59"/>
        <w:numPr>
          <w:ilvl w:val="0"/>
          <w:numId w:val="0"/>
        </w:numPr>
        <w:ind w:left="432" w:hanging="432"/>
        <w:jc w:val="both"/>
        <w:spacing w:after="240"/>
        <w:widowControl w:val="off"/>
        <w:tabs>
          <w:tab w:val="left" w:pos="426" w:leader="none"/>
        </w:tabs>
      </w:pPr>
      <w:r/>
      <w:bookmarkStart w:id="18" w:name="_Toc158904861"/>
      <w:r>
        <w:t xml:space="preserve">Таблица </w:t>
      </w:r>
      <w:r>
        <w:t xml:space="preserve">2</w:t>
      </w:r>
      <w:r>
        <w:t xml:space="preserve">.</w:t>
      </w:r>
      <w:r>
        <w:t xml:space="preserve">1</w:t>
      </w:r>
      <w:r>
        <w:t xml:space="preserve"> </w:t>
      </w:r>
      <w:bookmarkStart w:id="19" w:name="_Hlk50465284"/>
      <w:r>
        <w:t xml:space="preserve">Требования по срокам </w:t>
      </w:r>
      <w:bookmarkEnd w:id="19"/>
      <w:r>
        <w:t xml:space="preserve">поставки продукции</w:t>
      </w:r>
      <w:bookmarkEnd w:id="18"/>
      <w:r>
        <w:t xml:space="preserve"> </w:t>
      </w:r>
      <w:r/>
    </w:p>
    <w:tbl>
      <w:tblPr>
        <w:tblW w:w="10081" w:type="dxa"/>
        <w:tblLook w:val="04A0" w:firstRow="1" w:lastRow="0" w:firstColumn="1" w:lastColumn="0" w:noHBand="0" w:noVBand="1"/>
      </w:tblPr>
      <w:tblGrid>
        <w:gridCol w:w="594"/>
        <w:gridCol w:w="4079"/>
        <w:gridCol w:w="2822"/>
        <w:gridCol w:w="2586"/>
      </w:tblGrid>
      <w:tr>
        <w:tblPrEx/>
        <w:trPr>
          <w:trHeight w:val="936"/>
        </w:trPr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4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№ п\п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079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Наименование продукции / партии продукции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22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Требования к началу срока поставки продукции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Требования к окончанию срока поставки продукции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48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1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07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2</w: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2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3</w: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4</w:t>
            </w:r>
            <w:r>
              <w:rPr>
                <w:b/>
                <w:bCs/>
                <w:color w:val="000000"/>
                <w:sz w:val="24"/>
                <w:szCs w:val="24"/>
              </w:rPr>
            </w:r>
            <w:r>
              <w:rPr>
                <w:b/>
                <w:bCs/>
                <w:color w:val="000000"/>
                <w:sz w:val="24"/>
                <w:szCs w:val="24"/>
              </w:rPr>
            </w:r>
          </w:p>
        </w:tc>
      </w:tr>
      <w:tr>
        <w:tblPrEx/>
        <w:trPr>
          <w:trHeight w:val="348"/>
        </w:trPr>
        <w:tc>
          <w:tcPr>
            <w:shd w:val="clear" w:color="000000" w:fill="ffffff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bCs/>
                <w:color w:val="000000"/>
                <w:sz w:val="24"/>
                <w:szCs w:val="24"/>
                <w:lang w:val="en-US"/>
              </w:rPr>
              <w:t xml:space="preserve">1</w:t>
            </w:r>
            <w:r>
              <w:rPr>
                <w:bCs/>
                <w:color w:val="000000"/>
                <w:sz w:val="24"/>
                <w:szCs w:val="24"/>
                <w:lang w:val="en-US"/>
              </w:rPr>
            </w:r>
            <w:r>
              <w:rPr>
                <w:bCs/>
                <w:color w:val="000000"/>
                <w:sz w:val="24"/>
                <w:szCs w:val="24"/>
                <w:lang w:val="en-US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407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Наполнитель для декарбонизатора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ДАНПАК или эквивалент </w:t>
            </w:r>
            <w:r>
              <w:rPr>
                <w:bCs/>
                <w:color w:val="000000"/>
                <w:sz w:val="24"/>
                <w:szCs w:val="24"/>
              </w:rPr>
              <w:t xml:space="preserve"> (Для всех грузополучателей)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822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даты подписания Договора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25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80 календарных дней с даты заключения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r/>
      <w:r/>
    </w:p>
    <w:p>
      <w:pPr>
        <w:pStyle w:val="856"/>
        <w:numPr>
          <w:ilvl w:val="0"/>
          <w:numId w:val="0"/>
        </w:numPr>
        <w:rPr>
          <w:rFonts w:eastAsia="Times New Roman"/>
          <w:b w:val="0"/>
          <w:sz w:val="20"/>
          <w:szCs w:val="20"/>
          <w:lang w:val="ru-RU" w:eastAsia="ru-RU"/>
        </w:rPr>
      </w:pPr>
      <w:r/>
      <w:bookmarkStart w:id="21" w:name="_Toc50125131"/>
      <w:r>
        <w:fldChar w:fldCharType="begin"/>
      </w:r>
      <w:r>
        <w:instrText xml:space="preserve"> LINK </w:instrText>
      </w:r>
      <w:r>
        <w:instrText xml:space="preserve">Excel.Sheet.12 "C:\\Users\\Okishev_EV\\Desktop\\ГКПЗ 2023\\Индекс готовности\\Трубы\\ТТ трубы.xlsx" Лист1!R6C10:R50C13 </w:instrText>
      </w:r>
      <w:r>
        <w:instrText xml:space="preserve">\a \f 4 \h  \* MERGEFORMAT </w:instrText>
      </w:r>
      <w:r>
        <w:fldChar w:fldCharType="separate"/>
      </w:r>
      <w:r>
        <w:rPr>
          <w:sz w:val="24"/>
          <w:szCs w:val="24"/>
          <w:lang w:val="ru-RU"/>
        </w:rPr>
        <w:fldChar w:fldCharType="end"/>
      </w:r>
      <w:r>
        <w:rPr>
          <w:rFonts w:eastAsia="Times New Roman"/>
          <w:b w:val="0"/>
          <w:sz w:val="20"/>
          <w:szCs w:val="20"/>
          <w:lang w:val="ru-RU" w:eastAsia="ru-RU"/>
        </w:rPr>
      </w:r>
      <w:bookmarkStart w:id="0" w:name="undefined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.</w:t>
      </w:r>
      <w:r>
        <w:rPr>
          <w:sz w:val="24"/>
          <w:szCs w:val="24"/>
          <w:lang w:val="ru-RU"/>
        </w:rPr>
        <w:t xml:space="preserve">2</w:t>
      </w:r>
      <w:r>
        <w:rPr>
          <w:sz w:val="24"/>
          <w:szCs w:val="24"/>
        </w:rPr>
        <w:t xml:space="preserve"> Требования по срокам </w:t>
      </w:r>
      <w:r>
        <w:rPr>
          <w:sz w:val="24"/>
          <w:szCs w:val="24"/>
          <w:lang w:val="ru-RU"/>
        </w:rPr>
        <w:t xml:space="preserve">оказания </w:t>
      </w:r>
      <w:r>
        <w:rPr>
          <w:sz w:val="24"/>
          <w:szCs w:val="24"/>
        </w:rPr>
        <w:t xml:space="preserve">сопутствующих услуг</w:t>
      </w:r>
      <w:bookmarkEnd w:id="0"/>
      <w:r>
        <w:rPr>
          <w:rFonts w:eastAsia="Times New Roman"/>
          <w:b w:val="0"/>
          <w:sz w:val="20"/>
          <w:szCs w:val="20"/>
          <w:lang w:val="ru-RU" w:eastAsia="ru-RU"/>
        </w:rPr>
      </w:r>
      <w:r>
        <w:rPr>
          <w:rFonts w:eastAsia="Times New Roman"/>
          <w:b w:val="0"/>
          <w:sz w:val="20"/>
          <w:szCs w:val="20"/>
          <w:lang w:val="ru-RU" w:eastAsia="ru-RU"/>
        </w:rPr>
      </w:r>
    </w:p>
    <w:tbl>
      <w:tblPr>
        <w:tblW w:w="99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2268"/>
        <w:gridCol w:w="2551"/>
        <w:gridCol w:w="1843"/>
      </w:tblGrid>
      <w:tr>
        <w:tblPrEx/>
        <w:trPr/>
        <w:tc>
          <w:tcPr>
            <w:shd w:val="clear" w:color="ffffff" w:fill="ffffff"/>
            <w:tcW w:w="112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12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951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pStyle w:val="951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оказания услуг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51"/>
              <w:jc w:val="center"/>
              <w:keepNext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Примечание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1129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ffffff" w:fill="ffffff"/>
            <w:tcW w:w="2127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51"/>
              <w:jc w:val="center"/>
              <w:keepNext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ffffff" w:fill="ffffff"/>
            <w:tcW w:w="2551" w:type="dxa"/>
            <w:textDirection w:val="lrTb"/>
            <w:noWrap w:val="false"/>
          </w:tcPr>
          <w:p>
            <w:pPr>
              <w:pStyle w:val="951"/>
              <w:jc w:val="center"/>
              <w:keepNext w:val="0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pStyle w:val="951"/>
              <w:jc w:val="center"/>
              <w:keepNext w:val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5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ffffff" w:fill="ffffff"/>
            <w:tcW w:w="112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1.</w:t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gridSpan w:val="4"/>
            <w:shd w:val="clear" w:color="ffffff" w:fill="ffffff"/>
            <w:tcW w:w="8789" w:type="dxa"/>
            <w:textDirection w:val="lrTb"/>
            <w:noWrap w:val="false"/>
          </w:tcPr>
          <w:p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Не требуется</w:t>
            </w: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</w:tr>
    </w:tbl>
    <w:p>
      <w:pPr>
        <w:jc w:val="both"/>
        <w:rPr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1" w:bottom="992" w:left="1134" w:header="680" w:footer="737" w:gutter="0"/>
          <w:cols w:num="1" w:sep="0" w:space="708" w:equalWidth="1"/>
          <w:docGrid w:linePitch="360"/>
          <w:titlePg/>
        </w:sectPr>
      </w:pPr>
      <w:r>
        <w:rPr>
          <w:sz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ru-RU" w:eastAsia="ru-RU"/>
        </w:rPr>
        <w:t xml:space="preserve">2.2. Требования к качеству продукции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56"/>
        <w:numPr>
          <w:ilvl w:val="0"/>
          <w:numId w:val="0"/>
        </w:numPr>
        <w:rPr>
          <w:rFonts w:eastAsia="Times New Roman"/>
          <w:b w:val="0"/>
          <w:bCs w:val="0"/>
          <w:sz w:val="20"/>
          <w:szCs w:val="20"/>
          <w:lang w:val="ru-RU" w:eastAsia="ru-RU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</w:rPr>
        <w:t xml:space="preserve">Таблица 3</w:t>
      </w:r>
      <w:r>
        <w:rPr>
          <w:sz w:val="24"/>
          <w:szCs w:val="24"/>
          <w:lang w:val="ru-RU"/>
        </w:rPr>
        <w:t xml:space="preserve">.1</w:t>
      </w:r>
      <w:r>
        <w:rPr>
          <w:sz w:val="24"/>
          <w:szCs w:val="24"/>
        </w:rPr>
        <w:t xml:space="preserve"> Требования к продукции</w:t>
      </w:r>
      <w:r>
        <w:rPr>
          <w:rFonts w:eastAsia="Times New Roman"/>
          <w:b w:val="0"/>
          <w:bCs w:val="0"/>
          <w:sz w:val="20"/>
          <w:szCs w:val="20"/>
          <w:lang w:val="ru-RU" w:eastAsia="ru-RU"/>
        </w:rPr>
      </w:r>
      <w:r>
        <w:rPr>
          <w:rFonts w:eastAsia="Times New Roman"/>
          <w:b w:val="0"/>
          <w:bCs w:val="0"/>
          <w:sz w:val="20"/>
          <w:szCs w:val="20"/>
          <w:lang w:val="ru-RU" w:eastAsia="ru-RU"/>
        </w:rPr>
      </w:r>
    </w:p>
    <w:tbl>
      <w:tblPr>
        <w:tblStyle w:val="879"/>
        <w:tblW w:w="153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44"/>
        <w:gridCol w:w="2268"/>
        <w:gridCol w:w="283"/>
        <w:gridCol w:w="4248"/>
        <w:gridCol w:w="2280"/>
        <w:gridCol w:w="2835"/>
        <w:gridCol w:w="2551"/>
      </w:tblGrid>
      <w:tr>
        <w:tblPrEx/>
        <w:trPr/>
        <w:tc>
          <w:tcPr>
            <w:tcW w:w="8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453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511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</w:t>
            </w:r>
            <w:r>
              <w:rPr>
                <w:b/>
                <w:bCs/>
                <w:sz w:val="24"/>
                <w:szCs w:val="24"/>
              </w:rPr>
              <w:t xml:space="preserve"> по характеристикам и 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4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453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4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rPr>
                <w:b/>
                <w:sz w:val="24"/>
                <w:szCs w:val="24"/>
              </w:rPr>
              <w:t xml:space="preserve">1</w:t>
            </w:r>
            <w:r/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gridSpan w:val="2"/>
            <w:tcW w:w="453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28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1080"/>
        </w:trPr>
        <w:tc>
          <w:tcPr>
            <w:tcW w:w="84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1.</w:t>
            </w:r>
            <w:r>
              <w:rPr>
                <w:b/>
                <w:bCs/>
                <w:sz w:val="24"/>
                <w:szCs w:val="24"/>
                <w:lang w:val="en-US"/>
              </w:rPr>
            </w:r>
            <w:r>
              <w:rPr>
                <w:b/>
                <w:bCs/>
                <w:sz w:val="24"/>
                <w:szCs w:val="24"/>
                <w:lang w:val="en-US"/>
              </w:rPr>
            </w:r>
          </w:p>
        </w:tc>
        <w:tc>
          <w:tcPr>
            <w:gridSpan w:val="3"/>
            <w:tcW w:w="6799" w:type="dxa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техническим и функциональным характеристикам (включая гарантируемые показатели)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280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shd w:val="clear" w:color="ffffff" w:fill="ffffff"/>
            <w:tcW w:w="255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1080"/>
        </w:trPr>
        <w:tc>
          <w:tcPr>
            <w:tcW w:w="84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1.1.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Наполнитель для декарбонизатора ДАНПАК или эквивалент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1" w:type="dxa"/>
            <w:vAlign w:val="center"/>
            <w:vMerge w:val="restart"/>
            <w:textDirection w:val="lrTb"/>
            <w:noWrap w:val="false"/>
          </w:tcPr>
          <w:p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 требованиями </w:t>
            </w:r>
            <w:r>
              <w:rPr>
                <w:bCs/>
                <w:sz w:val="24"/>
                <w:szCs w:val="24"/>
              </w:rPr>
              <w:t xml:space="preserve">Приложения №1 к настоящим Техническим требованиям (Таблица </w:t>
            </w:r>
            <w:r>
              <w:rPr>
                <w:bCs/>
                <w:sz w:val="24"/>
                <w:szCs w:val="24"/>
              </w:rPr>
              <w:t xml:space="preserve">1</w:t>
            </w:r>
            <w:r>
              <w:rPr>
                <w:bCs/>
                <w:sz w:val="24"/>
                <w:szCs w:val="24"/>
              </w:rPr>
              <w:t xml:space="preserve">.1 в формате «</w:t>
            </w:r>
            <w:r>
              <w:rPr>
                <w:bCs/>
                <w:sz w:val="24"/>
                <w:szCs w:val="24"/>
                <w:lang w:val="en-US"/>
              </w:rPr>
              <w:t xml:space="preserve">Excel</w:t>
            </w:r>
            <w:r>
              <w:rPr>
                <w:bCs/>
                <w:sz w:val="24"/>
                <w:szCs w:val="24"/>
              </w:rPr>
              <w:t xml:space="preserve">»</w:t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2280" w:type="dxa"/>
            <w:vMerge w:val="restart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Согласие с требованием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shd w:val="clear" w:color="ffffff" w:fill="ffffff"/>
            <w:tcW w:w="2835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ffffff" w:fill="ffffff"/>
            <w:tcW w:w="2551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4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2.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gridSpan w:val="3"/>
            <w:tcW w:w="6799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доставке, маркировке, упаковке, транспортировке, перемещению, условиям хранения, приемке и испытаниям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80" w:type="dxa"/>
            <w:textDirection w:val="lrTb"/>
            <w:noWrap w:val="false"/>
          </w:tcPr>
          <w:p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4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2.1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gridSpan w:val="3"/>
            <w:tcW w:w="6799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Поставка продукции по всем позициям </w:t>
            </w:r>
            <w:r>
              <w:rPr>
                <w:bCs/>
                <w:sz w:val="24"/>
                <w:szCs w:val="24"/>
              </w:rPr>
              <w:t xml:space="preserve">Приложения №1 к настоящим Техническим требованиям (Таблица </w:t>
            </w:r>
            <w:r>
              <w:rPr>
                <w:bCs/>
                <w:sz w:val="24"/>
                <w:szCs w:val="24"/>
              </w:rPr>
              <w:t xml:space="preserve">1</w:t>
            </w:r>
            <w:r>
              <w:rPr>
                <w:bCs/>
                <w:sz w:val="24"/>
                <w:szCs w:val="24"/>
              </w:rPr>
              <w:t xml:space="preserve">.1 в формате «</w:t>
            </w:r>
            <w:r>
              <w:rPr>
                <w:bCs/>
                <w:sz w:val="24"/>
                <w:szCs w:val="24"/>
                <w:lang w:val="en-US"/>
              </w:rPr>
              <w:t xml:space="preserve">Excel</w:t>
            </w:r>
            <w:r>
              <w:rPr>
                <w:bCs/>
                <w:sz w:val="24"/>
                <w:szCs w:val="24"/>
              </w:rPr>
              <w:t xml:space="preserve">»</w:t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  <w:t xml:space="preserve"> производится до склада каждого грузополучателя (автодоставка). У</w:t>
            </w:r>
            <w:r>
              <w:rPr>
                <w:sz w:val="24"/>
                <w:szCs w:val="24"/>
              </w:rPr>
              <w:t xml:space="preserve">паковка: 1м3 Big-Bag.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280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С</w:t>
            </w:r>
            <w:r>
              <w:rPr>
                <w:i/>
                <w:sz w:val="24"/>
                <w:szCs w:val="24"/>
              </w:rPr>
              <w:t xml:space="preserve">огласие с требованием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lang w:val="en-US"/>
              </w:rPr>
              <w:t xml:space="preserve">-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4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2.2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поставки продукции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531" w:type="dxa"/>
            <w:textDirection w:val="lrTb"/>
            <w:noWrap w:val="false"/>
          </w:tcPr>
          <w:p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 требованиями </w:t>
            </w:r>
            <w:r>
              <w:rPr>
                <w:bCs/>
                <w:sz w:val="24"/>
                <w:szCs w:val="24"/>
              </w:rPr>
              <w:t xml:space="preserve">Приложения №1 к настоящим Техническим требованиям (Таблица </w:t>
            </w:r>
            <w:r>
              <w:rPr>
                <w:bCs/>
                <w:sz w:val="24"/>
                <w:szCs w:val="24"/>
              </w:rPr>
              <w:t xml:space="preserve">1</w:t>
            </w:r>
            <w:r>
              <w:rPr>
                <w:bCs/>
                <w:sz w:val="24"/>
                <w:szCs w:val="24"/>
              </w:rPr>
              <w:t xml:space="preserve">.1 в формате «</w:t>
            </w:r>
            <w:r>
              <w:rPr>
                <w:bCs/>
                <w:sz w:val="24"/>
                <w:szCs w:val="24"/>
                <w:lang w:val="en-US"/>
              </w:rPr>
              <w:t xml:space="preserve">Excel</w:t>
            </w:r>
            <w:r>
              <w:rPr>
                <w:bCs/>
                <w:sz w:val="24"/>
                <w:szCs w:val="24"/>
              </w:rPr>
              <w:t xml:space="preserve">»</w:t>
            </w:r>
            <w:r>
              <w:rPr>
                <w:bCs/>
                <w:sz w:val="24"/>
                <w:szCs w:val="24"/>
              </w:rPr>
              <w:t xml:space="preserve">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 xml:space="preserve">С</w:t>
            </w:r>
            <w:r>
              <w:rPr>
                <w:i/>
                <w:sz w:val="24"/>
                <w:szCs w:val="24"/>
              </w:rPr>
              <w:t xml:space="preserve">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-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</w:pPr>
            <w:r/>
            <w:r/>
          </w:p>
        </w:tc>
      </w:tr>
      <w:tr>
        <w:tblPrEx/>
        <w:trPr/>
        <w:tc>
          <w:tcPr>
            <w:tcW w:w="84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tabs>
                <w:tab w:val="left" w:pos="300" w:leader="none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3.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gridSpan w:val="3"/>
            <w:tcW w:w="6799" w:type="dxa"/>
            <w:vAlign w:val="center"/>
            <w:textDirection w:val="lrTb"/>
            <w:noWrap w:val="false"/>
          </w:tcPr>
          <w:p>
            <w:pPr>
              <w:ind w:left="7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гарантиям, гарантийному и послегарантийному срокам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sz w:val="24"/>
                <w:szCs w:val="24"/>
              </w:rPr>
              <w:t xml:space="preserve">-//-</w:t>
            </w:r>
            <w:r/>
          </w:p>
        </w:tc>
      </w:tr>
      <w:tr>
        <w:tblPrEx/>
        <w:trPr/>
        <w:tc>
          <w:tcPr>
            <w:tcW w:w="844" w:type="dxa"/>
            <w:vAlign w:val="center"/>
            <w:textDirection w:val="lrTb"/>
            <w:noWrap w:val="false"/>
          </w:tcPr>
          <w:p>
            <w:pPr>
              <w:ind w:left="-100"/>
              <w:jc w:val="center"/>
              <w:spacing w:before="60" w:after="60"/>
              <w:tabs>
                <w:tab w:val="left" w:pos="302" w:leader="none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3.1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gridSpan w:val="3"/>
            <w:tcW w:w="6799" w:type="dxa"/>
            <w:textDirection w:val="lrTb"/>
            <w:noWrap w:val="false"/>
          </w:tcPr>
          <w:p>
            <w:pPr>
              <w:pStyle w:val="982"/>
              <w:ind w:firstLine="0"/>
              <w:jc w:val="both"/>
              <w:rPr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Гарантийный срок: не менее 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месяцев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даты подписания Покупателем (грузополучателем) товарной накладной по форме ТОРГ-12 (УПД) </w:t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  <w:tc>
          <w:tcPr>
            <w:tcW w:w="2280" w:type="dxa"/>
            <w:textDirection w:val="lrTb"/>
            <w:noWrap w:val="false"/>
          </w:tcPr>
          <w:p>
            <w:pPr>
              <w:jc w:val="center"/>
              <w:spacing w:before="20"/>
              <w:rPr>
                <w:b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Способ подтверждения:указание срока гарантии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r/>
            <w:r/>
          </w:p>
        </w:tc>
        <w:tc>
          <w:tcPr>
            <w:tcW w:w="2551" w:type="dxa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58"/>
        </w:trPr>
        <w:tc>
          <w:tcPr>
            <w:tcW w:w="844" w:type="dxa"/>
            <w:vAlign w:val="center"/>
            <w:vMerge w:val="restart"/>
            <w:textDirection w:val="lrTb"/>
            <w:noWrap w:val="false"/>
          </w:tcPr>
          <w:p>
            <w:pPr>
              <w:ind w:left="-100"/>
              <w:jc w:val="center"/>
              <w:spacing w:before="60" w:after="60"/>
              <w:tabs>
                <w:tab w:val="left" w:pos="302" w:leader="none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3.2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gridSpan w:val="3"/>
            <w:tcW w:w="6799" w:type="dxa"/>
            <w:vMerge w:val="restart"/>
            <w:textDirection w:val="lrTb"/>
            <w:noWrap w:val="false"/>
          </w:tcPr>
          <w:p>
            <w:pPr>
              <w:pStyle w:val="982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Требования к сроку эксплуатации продукции: 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е менее 25 лет с даты  загрузки продукции в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декарбонизатор (поз. 1.1. Таблица 3.1 Технических требований)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sz w:val="16"/>
                <w:szCs w:val="16"/>
              </w:rPr>
            </w:r>
          </w:p>
          <w:p>
            <w:pPr>
              <w:pStyle w:val="982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80" w:type="dxa"/>
            <w:vMerge w:val="restart"/>
            <w:textDirection w:val="lrTb"/>
            <w:noWrap w:val="false"/>
          </w:tcPr>
          <w:p>
            <w:pPr>
              <w:jc w:val="center"/>
              <w:spacing w:after="120"/>
              <w:widowControl w:val="off"/>
              <w:tabs>
                <w:tab w:val="left" w:pos="426" w:leader="none"/>
              </w:tabs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Способ подтверждения: указание срока </w:t>
            </w:r>
            <w:r>
              <w:rPr>
                <w:sz w:val="24"/>
                <w:szCs w:val="24"/>
              </w:rPr>
              <w:t xml:space="preserve">эксплуатации продукции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spacing w:before="20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r/>
            <w:r/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44" w:type="dxa"/>
            <w:vAlign w:val="center"/>
            <w:textDirection w:val="lrTb"/>
            <w:noWrap w:val="false"/>
          </w:tcPr>
          <w:p>
            <w:pPr>
              <w:ind w:left="-100"/>
              <w:jc w:val="center"/>
              <w:spacing w:before="60" w:after="60"/>
              <w:tabs>
                <w:tab w:val="left" w:pos="252" w:leader="none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4.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gridSpan w:val="3"/>
            <w:tcW w:w="6799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Прочие (дополнительные) требования к продукции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80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4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4.1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gridSpan w:val="3"/>
            <w:tcW w:w="6799" w:type="dxa"/>
            <w:vAlign w:val="center"/>
            <w:textDirection w:val="lrTb"/>
            <w:noWrap w:val="false"/>
          </w:tcPr>
          <w:p>
            <w:pPr>
              <w:spacing w:before="60" w:after="60"/>
            </w:pPr>
            <w:r>
              <w:rPr>
                <w:sz w:val="24"/>
                <w:szCs w:val="24"/>
              </w:rPr>
              <w:t xml:space="preserve">Продукция должна быть новой, изготовленной не ранее 2025 года, ранее не использованной </w:t>
            </w:r>
            <w:r/>
          </w:p>
        </w:tc>
        <w:tc>
          <w:tcPr>
            <w:tcW w:w="2280" w:type="dxa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rPr>
                <w:i/>
                <w:sz w:val="24"/>
                <w:szCs w:val="24"/>
                <w:lang w:val="en-US"/>
              </w:rPr>
              <w:t xml:space="preserve">С</w:t>
            </w:r>
            <w:r>
              <w:rPr>
                <w:i/>
                <w:sz w:val="24"/>
                <w:szCs w:val="24"/>
              </w:rPr>
              <w:t xml:space="preserve">огласие с требованием</w:t>
            </w:r>
            <w:r/>
          </w:p>
        </w:tc>
        <w:tc>
          <w:tcPr>
            <w:tcW w:w="2835" w:type="dxa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rPr>
                <w:sz w:val="24"/>
                <w:szCs w:val="24"/>
                <w:lang w:val="en-US"/>
              </w:rPr>
              <w:t xml:space="preserve">-</w:t>
            </w:r>
            <w:r/>
          </w:p>
        </w:tc>
        <w:tc>
          <w:tcPr>
            <w:tcW w:w="2551" w:type="dxa"/>
            <w:textDirection w:val="lrTb"/>
            <w:noWrap w:val="false"/>
          </w:tcPr>
          <w:p>
            <w:pPr>
              <w:jc w:val="center"/>
              <w:spacing w:before="60" w:after="60"/>
            </w:pPr>
            <w:r/>
            <w:r/>
          </w:p>
        </w:tc>
      </w:tr>
    </w:tbl>
    <w:p>
      <w:r/>
      <w:r/>
    </w:p>
    <w:p>
      <w:pPr>
        <w:pStyle w:val="859"/>
        <w:numPr>
          <w:ilvl w:val="0"/>
          <w:numId w:val="0"/>
        </w:numPr>
      </w:pPr>
      <w:r>
        <w:rPr>
          <w:sz w:val="24"/>
          <w:szCs w:val="24"/>
        </w:rPr>
      </w:r>
      <w:r>
        <w:rPr>
          <w:sz w:val="24"/>
          <w:szCs w:val="24"/>
        </w:rPr>
        <w:t xml:space="preserve">Таблица 4</w:t>
      </w:r>
      <w:r>
        <w:rPr>
          <w:sz w:val="24"/>
          <w:szCs w:val="24"/>
        </w:rPr>
        <w:t xml:space="preserve">.1 Прочие (дополнительные) требования к продукции.</w:t>
      </w:r>
      <w:bookmarkStart w:id="26" w:name="_Toc75446582"/>
      <w:r/>
      <w:bookmarkStart w:id="27" w:name="_Toc158904863"/>
      <w:r/>
      <w:bookmarkEnd w:id="26"/>
      <w:r/>
      <w:bookmarkEnd w:id="27"/>
      <w:r>
        <w:t xml:space="preserve"> </w:t>
      </w:r>
      <w:r/>
    </w:p>
    <w:tbl>
      <w:tblPr>
        <w:tblStyle w:val="879"/>
        <w:tblW w:w="15309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51"/>
        <w:gridCol w:w="1740"/>
        <w:gridCol w:w="30"/>
        <w:gridCol w:w="644"/>
        <w:gridCol w:w="3260"/>
        <w:gridCol w:w="2115"/>
        <w:gridCol w:w="3261"/>
        <w:gridCol w:w="3408"/>
      </w:tblGrid>
      <w:tr>
        <w:tblPrEx/>
        <w:trPr/>
        <w:tc>
          <w:tcPr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W w:w="241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26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537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40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W w:w="241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2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11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3408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</w:pPr>
            <w:r>
              <w:rPr>
                <w:b/>
                <w:sz w:val="24"/>
                <w:szCs w:val="24"/>
              </w:rPr>
              <w:t xml:space="preserve">1</w:t>
            </w:r>
            <w:r/>
          </w:p>
        </w:tc>
        <w:tc>
          <w:tcPr>
            <w:gridSpan w:val="3"/>
            <w:tcW w:w="241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26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1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261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4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22"/>
              <w:numPr>
                <w:ilvl w:val="0"/>
                <w:numId w:val="27"/>
              </w:numPr>
              <w:jc w:val="center"/>
              <w:spacing w:before="60" w:after="60"/>
            </w:pPr>
            <w:r/>
            <w:r/>
          </w:p>
        </w:tc>
        <w:tc>
          <w:tcPr>
            <w:gridSpan w:val="4"/>
            <w:tcW w:w="5674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Прочие (дополнительные) требования к продукции.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1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261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3408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22"/>
              <w:numPr>
                <w:ilvl w:val="1"/>
                <w:numId w:val="27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gridSpan w:val="3"/>
            <w:shd w:val="clear" w:color="ffffff" w:fill="ffffff"/>
            <w:tcW w:w="2414" w:type="dxa"/>
            <w:textDirection w:val="lrTb"/>
            <w:noWrap w:val="false"/>
          </w:tcPr>
          <w:p>
            <w:pPr>
              <w:pStyle w:val="980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При осуществлении закупки товара,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если Правительством РФ установлено </w:t>
            </w:r>
            <w:hyperlink r:id="rId10" w:tooltip="https://login.consultant.ru/link/?req=doc&amp;base=LAW&amp;n=494318&amp;dst=100008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преимущество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в отношении товаров российского происхождения: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980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а) при рассмотрении, оценке, сопоставлении заявок на участие в закупке, окончательных предложений осуществляется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снижение на 15 % (пятнадцать процентов) ценового предложения, поданного участником </w:t>
            </w: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закупки, предлагающим к поставке товар только российского происхождения, либо увеличение на 15 % (пятнадцать процентов) ценового предложения этого участника закупки в случае подачи им предложения о размере платы, подлежащей внесению за заключение договора,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980"/>
              <w:ind w:firstLine="0"/>
              <w:spacing w:before="0" w:line="240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б) в случае заключения договора с участником закупки, указанным в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подпункте «а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      </w:r>
            <w:hyperlink w:tooltip="#Par17" w:anchor="Par17" w:history="1">
              <w:r>
                <w:rPr>
                  <w:rFonts w:ascii="Times New Roman" w:hAnsi="Times New Roman" w:eastAsia="Times New Roman" w:cs="Times New Roman"/>
                  <w:color w:val="auto"/>
                  <w:sz w:val="20"/>
                  <w:szCs w:val="20"/>
                  <w:lang w:eastAsia="ru-RU"/>
                </w:rPr>
                <w:t xml:space="preserve">подпунктом «а»</w:t>
              </w:r>
            </w:hyperlink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 настоящего пункта,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</w:r>
          </w:p>
          <w:p>
            <w:pPr>
              <w:pStyle w:val="981"/>
              <w:spacing w:before="0" w:after="0" w:line="240" w:lineRule="auto"/>
              <w:shd w:val="clear" w:color="auto" w:fill="auto"/>
              <w:tabs>
                <w:tab w:val="left" w:pos="1648" w:leader="none"/>
              </w:tabs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 w:eastAsia="Times New Roman" w:cs="Times New Roman"/>
                <w:color w:val="auto"/>
                <w:sz w:val="20"/>
                <w:szCs w:val="20"/>
                <w:lang w:eastAsia="ru-RU"/>
              </w:rPr>
      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260" w:type="dxa"/>
            <w:textDirection w:val="lrTb"/>
            <w:noWrap w:val="false"/>
          </w:tcPr>
          <w:p>
            <w:pPr>
              <w:jc w:val="both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У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казание в заявке на участие в закупке наименования страны происхождения товара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  <w:lang w:val="ru-RU"/>
              </w:rPr>
              <w:t xml:space="preserve"> в соответствии </w:t>
            </w:r>
            <w:r>
              <w:rPr>
                <w:rStyle w:val="905"/>
                <w:rFonts w:hint="default" w:ascii="Times New Roman" w:hAnsi="Times New Roman" w:eastAsia="Times New Roman" w:cs="Times New Roman"/>
                <w:b w:val="0"/>
                <w:bCs w:val="0"/>
                <w:i/>
                <w:iCs/>
                <w:caps w:val="0"/>
                <w:color w:val="333333"/>
                <w:spacing w:val="0"/>
                <w:sz w:val="20"/>
                <w:szCs w:val="20"/>
                <w:shd w:val="clear" w:color="auto" w:fill="ffffff"/>
              </w:rPr>
              <w:t xml:space="preserve">Общероссийский классификатор стран мира (ОКСМ).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</w:r>
          </w:p>
        </w:tc>
        <w:tc>
          <w:tcPr>
            <w:shd w:val="clear" w:color="ffffff" w:fill="ffffff"/>
            <w:tcW w:w="2115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Согласие с требованием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261" w:type="dxa"/>
            <w:textDirection w:val="lrTb"/>
            <w:noWrap w:val="false"/>
          </w:tcPr>
          <w:p>
            <w:pP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 w:eastAsiaTheme="minorHAnsi"/>
                <w:i/>
                <w:iCs/>
                <w:color w:val="000000" w:themeColor="text1"/>
                <w:sz w:val="20"/>
                <w:szCs w:val="20"/>
                <w:lang w:eastAsia="en-US"/>
              </w:rPr>
              <w:t xml:space="preserve">Участник должен предоставить в составе заявки Коммерческое предложение по форме, установленной документацией о закупке, с указанием в отношении поставляемой продукции информации</w:t>
            </w:r>
            <w:r>
              <w:rPr>
                <w:rFonts w:hint="default" w:ascii="Times New Roman" w:hAnsi="Times New Roman" w:eastAsia="Times New Roman" w:cs="Times New Roman" w:eastAsiaTheme="minorHAnsi"/>
                <w:i/>
                <w:iCs/>
                <w:color w:val="000000" w:themeColor="text1"/>
                <w:sz w:val="20"/>
                <w:szCs w:val="20"/>
                <w:lang w:val="ru-RU" w:eastAsia="en-US"/>
              </w:rPr>
              <w:t xml:space="preserve">:</w:t>
            </w:r>
            <w:r>
              <w:rPr>
                <w:rFonts w:hint="default" w:ascii="Times New Roman" w:hAnsi="Times New Roman" w:eastAsia="Times New Roman" w:cs="Times New Roman" w:eastAsiaTheme="minorHAnsi"/>
                <w:i/>
                <w:iCs/>
                <w:color w:val="000000" w:themeColor="text1"/>
                <w:sz w:val="20"/>
                <w:szCs w:val="20"/>
                <w:lang w:val="ru-RU" w:eastAsia="en-US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i/>
                <w:iCs/>
                <w:caps w:val="0"/>
                <w:color w:val="000000" w:themeColor="text1"/>
                <w:spacing w:val="0"/>
                <w:sz w:val="20"/>
                <w:szCs w:val="20"/>
                <w:shd w:val="clear" w:color="auto" w:fill="ffffff"/>
              </w:rPr>
              <w:t xml:space="preserve">страны происхождения товара</w:t>
            </w:r>
            <w: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  <w:r>
              <w:rPr>
                <w:rFonts w:hint="default" w:ascii="Times New Roman" w:hAnsi="Times New Roman" w:cs="Times New Roman"/>
                <w:bCs/>
                <w:i/>
                <w:caps w:val="0"/>
                <w:color w:val="000000" w:themeColor="text1"/>
                <w:spacing w:val="0"/>
                <w:sz w:val="20"/>
                <w:szCs w:val="20"/>
                <w:highlight w:val="none"/>
              </w:rPr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  <w:highlight w:val="cyan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  <w:highlight w:val="cyan"/>
              </w:rPr>
            </w: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0"/>
                <w:szCs w:val="20"/>
                <w:highlight w:val="cyan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40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r/>
      <w:r/>
    </w:p>
    <w:p>
      <w:pPr>
        <w:jc w:val="both"/>
        <w:rPr>
          <w:rStyle w:val="953"/>
          <w:b w:val="0"/>
          <w:iCs/>
          <w:sz w:val="24"/>
          <w:szCs w:val="24"/>
        </w:rPr>
      </w:pPr>
      <w:r>
        <w:rPr>
          <w:b w:val="0"/>
          <w:iCs/>
          <w:sz w:val="24"/>
          <w:szCs w:val="24"/>
        </w:rPr>
      </w:r>
      <w:r>
        <w:rPr>
          <w:rStyle w:val="953"/>
          <w:b w:val="0"/>
          <w:iCs/>
          <w:sz w:val="24"/>
          <w:szCs w:val="24"/>
        </w:rPr>
      </w:r>
      <w:r>
        <w:rPr>
          <w:rStyle w:val="953"/>
          <w:b w:val="0"/>
          <w:iCs/>
          <w:sz w:val="24"/>
          <w:szCs w:val="24"/>
        </w:rPr>
      </w:r>
    </w:p>
    <w:p>
      <w:pPr>
        <w:pStyle w:val="856"/>
        <w:ind w:left="357" w:hanging="357"/>
        <w:jc w:val="center"/>
        <w:keepLines/>
        <w:rPr>
          <w:iCs/>
        </w:rPr>
      </w:pPr>
      <w:r/>
      <w:bookmarkStart w:id="28" w:name="_Toc126501995"/>
      <w:r/>
      <w:bookmarkStart w:id="29" w:name="_Toc158904864"/>
      <w:r/>
      <w:bookmarkStart w:id="30" w:name="_Toc46743519"/>
      <w:r/>
      <w:bookmarkStart w:id="31" w:name="_Toc51339699"/>
      <w:r/>
      <w:bookmarkEnd w:id="21"/>
      <w:r>
        <w:rPr>
          <w:iCs/>
        </w:rPr>
        <w:t xml:space="preserve">Требования к документации по ценообразованию на этапе </w:t>
      </w:r>
      <w:r>
        <w:rPr>
          <w:iCs/>
        </w:rPr>
        <w:t xml:space="preserve">закупки</w:t>
      </w:r>
      <w:bookmarkEnd w:id="28"/>
      <w:r>
        <w:rPr>
          <w:iCs/>
        </w:rPr>
        <w:t xml:space="preserve">.</w:t>
      </w:r>
      <w:bookmarkEnd w:id="29"/>
      <w:r>
        <w:rPr>
          <w:iCs/>
        </w:rPr>
      </w:r>
      <w:r>
        <w:rPr>
          <w:iCs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rStyle w:val="953"/>
          <w:b w:val="0"/>
          <w:bCs/>
          <w:iCs/>
          <w:sz w:val="24"/>
          <w:szCs w:val="24"/>
          <w:u w:val="single"/>
        </w:rPr>
      </w:pPr>
      <w:r>
        <w:rPr>
          <w:b w:val="0"/>
          <w:bCs/>
          <w:iCs/>
          <w:sz w:val="24"/>
          <w:szCs w:val="24"/>
          <w:u w:val="single"/>
        </w:rPr>
      </w:r>
      <w:bookmarkEnd w:id="30"/>
      <w:r/>
      <w:bookmarkEnd w:id="31"/>
      <w:r>
        <w:rPr>
          <w:rStyle w:val="953"/>
          <w:b w:val="0"/>
          <w:bCs/>
          <w:iCs/>
          <w:sz w:val="24"/>
          <w:szCs w:val="24"/>
          <w:u w:val="single"/>
        </w:rPr>
      </w:r>
      <w:r>
        <w:rPr>
          <w:rStyle w:val="953"/>
          <w:b w:val="0"/>
          <w:bCs/>
          <w:iCs/>
          <w:sz w:val="24"/>
          <w:szCs w:val="24"/>
          <w:u w:val="single"/>
        </w:rPr>
      </w:r>
    </w:p>
    <w:p>
      <w:pPr>
        <w:numPr>
          <w:ilvl w:val="1"/>
          <w:numId w:val="16"/>
        </w:numPr>
        <w:jc w:val="both"/>
        <w:spacing w:after="12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numPr>
          <w:ilvl w:val="1"/>
          <w:numId w:val="16"/>
        </w:numPr>
        <w:jc w:val="both"/>
        <w:spacing w:after="12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Дополнительные документы по ценообразованию в состав заявки не включаются</w:t>
      </w:r>
      <w:r>
        <w:rPr>
          <w:bCs/>
          <w:iCs/>
          <w:sz w:val="24"/>
          <w:szCs w:val="24"/>
        </w:rPr>
        <w:t xml:space="preserve"> и не предоставляются</w:t>
      </w:r>
      <w:r>
        <w:rPr>
          <w:bCs/>
          <w:iCs/>
          <w:sz w:val="24"/>
          <w:szCs w:val="24"/>
        </w:rPr>
        <w:t xml:space="preserve">.</w:t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ind w:left="720"/>
        <w:jc w:val="both"/>
        <w:spacing w:after="120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p>
      <w:pPr>
        <w:pStyle w:val="856"/>
        <w:ind w:left="357" w:hanging="357"/>
        <w:jc w:val="center"/>
        <w:keepLines/>
        <w:rPr>
          <w:iCs/>
        </w:rPr>
      </w:pPr>
      <w:r/>
      <w:bookmarkStart w:id="32" w:name="_Toc158904865"/>
      <w:r>
        <w:rPr>
          <w:iCs/>
        </w:rPr>
        <w:t xml:space="preserve">Приложения.</w:t>
      </w:r>
      <w:bookmarkEnd w:id="32"/>
      <w:r>
        <w:rPr>
          <w:iCs/>
        </w:rPr>
      </w:r>
      <w:r>
        <w:rPr>
          <w:iCs/>
        </w:rPr>
      </w:r>
    </w:p>
    <w:p>
      <w:pPr>
        <w:jc w:val="both"/>
        <w:spacing w:after="120"/>
        <w:rPr>
          <w:bCs/>
          <w:iCs/>
          <w:sz w:val="24"/>
          <w:szCs w:val="24"/>
        </w:rPr>
      </w:pPr>
      <w:r>
        <w:rPr>
          <w:bCs/>
          <w:iCs/>
        </w:rPr>
        <w:t xml:space="preserve">          </w:t>
      </w:r>
      <w:r>
        <w:rPr>
          <w:bCs/>
          <w:iCs/>
          <w:sz w:val="24"/>
          <w:szCs w:val="24"/>
        </w:rPr>
        <w:t xml:space="preserve">Приложение №1: Таблица 1.1 Перечень и объем закупаемой продукции, требования к продукции.</w:t>
      </w:r>
      <w:bookmarkStart w:id="33" w:name="_GoBack"/>
      <w:r/>
      <w:bookmarkEnd w:id="33"/>
      <w:r>
        <w:rPr>
          <w:bCs/>
          <w:iCs/>
          <w:sz w:val="24"/>
          <w:szCs w:val="24"/>
        </w:rPr>
      </w:r>
      <w:r>
        <w:rPr>
          <w:bCs/>
          <w:iCs/>
          <w:sz w:val="24"/>
          <w:szCs w:val="24"/>
        </w:rPr>
      </w:r>
    </w:p>
    <w:sectPr>
      <w:footnotePr/>
      <w:endnotePr/>
      <w:type w:val="nextPage"/>
      <w:pgSz w:w="16838" w:h="11906" w:orient="landscape"/>
      <w:pgMar w:top="426" w:right="1134" w:bottom="851" w:left="992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Cambria">
    <w:panose1 w:val="02040803050406030204"/>
  </w:font>
  <w:font w:name="Batang">
    <w:panose1 w:val="02000506000000020000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56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57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60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58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59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">
    <w:multiLevelType w:val="hybridMultilevel"/>
    <w:lvl w:ilvl="0">
      <w:start w:val="1"/>
      <w:numFmt w:val="decimal"/>
      <w:pStyle w:val="86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870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pStyle w:val="856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59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858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styleLink w:val="950"/>
    <w:lvl w:ilvl="0">
      <w:start w:val="1"/>
      <w:numFmt w:val="decimal"/>
      <w:pStyle w:val="950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968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4"/>
      <w:numFmt w:val="bullet"/>
      <w:pStyle w:val="937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38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36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styleLink w:val="946"/>
    <w:lvl w:ilvl="0">
      <w:start w:val="3"/>
      <w:numFmt w:val="decimal"/>
      <w:pStyle w:val="946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6670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tabs>
          <w:tab w:val="left" w:pos="312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9"/>
  </w:num>
  <w:num w:numId="2">
    <w:abstractNumId w:val="13"/>
  </w:num>
  <w:num w:numId="3">
    <w:abstractNumId w:val="16"/>
  </w:num>
  <w:num w:numId="4">
    <w:abstractNumId w:val="10"/>
  </w:num>
  <w:num w:numId="5">
    <w:abstractNumId w:val="11"/>
  </w:num>
  <w:num w:numId="6">
    <w:abstractNumId w:val="4"/>
  </w:num>
  <w:num w:numId="7">
    <w:abstractNumId w:val="12"/>
  </w:num>
  <w:num w:numId="8">
    <w:abstractNumId w:val="3"/>
  </w:num>
  <w:num w:numId="9">
    <w:abstractNumId w:val="0"/>
  </w:num>
  <w:num w:numId="10">
    <w:abstractNumId w:val="7"/>
  </w:num>
  <w:num w:numId="11">
    <w:abstractNumId w:val="6"/>
  </w:num>
  <w:num w:numId="12">
    <w:abstractNumId w:val="14"/>
  </w:num>
  <w:num w:numId="13">
    <w:abstractNumId w:val="8"/>
  </w:num>
  <w:num w:numId="14">
    <w:abstractNumId w:val="15"/>
  </w:num>
  <w:num w:numId="15">
    <w:abstractNumId w:val="2"/>
  </w:num>
  <w:num w:numId="16">
    <w:abstractNumId w:val="1"/>
  </w:num>
  <w:num w:numId="17">
    <w:abstractNumId w:val="5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7"/>
  </w:num>
  <w:num w:numId="27">
    <w:abstractNumId w:val="18"/>
  </w:num>
  <w:num w:numId="28">
    <w:abstractNumId w:val="19"/>
  </w:num>
  <w:num w:numId="29">
    <w:abstractNumId w:val="20"/>
  </w:num>
  <w:num w:numId="30">
    <w:abstractNumId w:val="21"/>
  </w:num>
  <w:num w:numId="31">
    <w:abstractNumId w:val="22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0">
    <w:name w:val="Heading 1 Char"/>
    <w:basedOn w:val="865"/>
    <w:link w:val="856"/>
    <w:uiPriority w:val="9"/>
    <w:rPr>
      <w:rFonts w:ascii="Arial" w:hAnsi="Arial" w:eastAsia="Arial" w:cs="Arial"/>
      <w:sz w:val="40"/>
      <w:szCs w:val="40"/>
    </w:rPr>
  </w:style>
  <w:style w:type="character" w:styleId="711">
    <w:name w:val="Heading 2 Char"/>
    <w:basedOn w:val="865"/>
    <w:link w:val="857"/>
    <w:uiPriority w:val="9"/>
    <w:rPr>
      <w:rFonts w:ascii="Arial" w:hAnsi="Arial" w:eastAsia="Arial" w:cs="Arial"/>
      <w:sz w:val="34"/>
    </w:rPr>
  </w:style>
  <w:style w:type="character" w:styleId="712">
    <w:name w:val="Heading 3 Char"/>
    <w:basedOn w:val="865"/>
    <w:link w:val="858"/>
    <w:uiPriority w:val="9"/>
    <w:rPr>
      <w:rFonts w:ascii="Arial" w:hAnsi="Arial" w:eastAsia="Arial" w:cs="Arial"/>
      <w:sz w:val="30"/>
      <w:szCs w:val="30"/>
    </w:rPr>
  </w:style>
  <w:style w:type="character" w:styleId="713">
    <w:name w:val="Heading 4 Char"/>
    <w:basedOn w:val="865"/>
    <w:link w:val="859"/>
    <w:uiPriority w:val="9"/>
    <w:rPr>
      <w:rFonts w:ascii="Arial" w:hAnsi="Arial" w:eastAsia="Arial" w:cs="Arial"/>
      <w:b/>
      <w:bCs/>
      <w:sz w:val="26"/>
      <w:szCs w:val="26"/>
    </w:rPr>
  </w:style>
  <w:style w:type="character" w:styleId="714">
    <w:name w:val="Heading 5 Char"/>
    <w:basedOn w:val="865"/>
    <w:link w:val="860"/>
    <w:uiPriority w:val="9"/>
    <w:rPr>
      <w:rFonts w:ascii="Arial" w:hAnsi="Arial" w:eastAsia="Arial" w:cs="Arial"/>
      <w:b/>
      <w:bCs/>
      <w:sz w:val="24"/>
      <w:szCs w:val="24"/>
    </w:rPr>
  </w:style>
  <w:style w:type="character" w:styleId="715">
    <w:name w:val="Heading 6 Char"/>
    <w:basedOn w:val="865"/>
    <w:link w:val="861"/>
    <w:uiPriority w:val="9"/>
    <w:rPr>
      <w:rFonts w:ascii="Arial" w:hAnsi="Arial" w:eastAsia="Arial" w:cs="Arial"/>
      <w:b/>
      <w:bCs/>
      <w:sz w:val="22"/>
      <w:szCs w:val="22"/>
    </w:rPr>
  </w:style>
  <w:style w:type="character" w:styleId="716">
    <w:name w:val="Heading 7 Char"/>
    <w:basedOn w:val="865"/>
    <w:link w:val="86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7">
    <w:name w:val="Heading 8 Char"/>
    <w:basedOn w:val="865"/>
    <w:link w:val="863"/>
    <w:uiPriority w:val="9"/>
    <w:rPr>
      <w:rFonts w:ascii="Arial" w:hAnsi="Arial" w:eastAsia="Arial" w:cs="Arial"/>
      <w:i/>
      <w:iCs/>
      <w:sz w:val="22"/>
      <w:szCs w:val="22"/>
    </w:rPr>
  </w:style>
  <w:style w:type="character" w:styleId="718">
    <w:name w:val="Heading 9 Char"/>
    <w:basedOn w:val="865"/>
    <w:link w:val="864"/>
    <w:uiPriority w:val="9"/>
    <w:rPr>
      <w:rFonts w:ascii="Arial" w:hAnsi="Arial" w:eastAsia="Arial" w:cs="Arial"/>
      <w:i/>
      <w:iCs/>
      <w:sz w:val="21"/>
      <w:szCs w:val="21"/>
    </w:rPr>
  </w:style>
  <w:style w:type="paragraph" w:styleId="719">
    <w:name w:val="Title"/>
    <w:basedOn w:val="855"/>
    <w:next w:val="855"/>
    <w:link w:val="72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0">
    <w:name w:val="Title Char"/>
    <w:basedOn w:val="865"/>
    <w:link w:val="719"/>
    <w:uiPriority w:val="10"/>
    <w:rPr>
      <w:sz w:val="48"/>
      <w:szCs w:val="48"/>
    </w:rPr>
  </w:style>
  <w:style w:type="character" w:styleId="721">
    <w:name w:val="Subtitle Char"/>
    <w:basedOn w:val="865"/>
    <w:link w:val="919"/>
    <w:uiPriority w:val="11"/>
    <w:rPr>
      <w:sz w:val="24"/>
      <w:szCs w:val="24"/>
    </w:rPr>
  </w:style>
  <w:style w:type="character" w:styleId="722">
    <w:name w:val="Quote Char"/>
    <w:link w:val="923"/>
    <w:uiPriority w:val="29"/>
    <w:rPr>
      <w:i/>
    </w:rPr>
  </w:style>
  <w:style w:type="character" w:styleId="723">
    <w:name w:val="Intense Quote Char"/>
    <w:link w:val="925"/>
    <w:uiPriority w:val="30"/>
    <w:rPr>
      <w:i/>
    </w:rPr>
  </w:style>
  <w:style w:type="character" w:styleId="724">
    <w:name w:val="Header Char"/>
    <w:basedOn w:val="865"/>
    <w:link w:val="877"/>
    <w:uiPriority w:val="99"/>
  </w:style>
  <w:style w:type="character" w:styleId="725">
    <w:name w:val="Footer Char"/>
    <w:basedOn w:val="865"/>
    <w:link w:val="880"/>
    <w:uiPriority w:val="99"/>
  </w:style>
  <w:style w:type="character" w:styleId="726">
    <w:name w:val="Caption Char"/>
    <w:basedOn w:val="917"/>
    <w:link w:val="880"/>
    <w:uiPriority w:val="99"/>
  </w:style>
  <w:style w:type="table" w:styleId="727">
    <w:name w:val="Table Grid Light"/>
    <w:basedOn w:val="86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Plain Table 1"/>
    <w:basedOn w:val="86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>
    <w:name w:val="Plain Table 2"/>
    <w:basedOn w:val="86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>
    <w:name w:val="Plain Table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1">
    <w:name w:val="Plain Table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Plain Table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3">
    <w:name w:val="Grid Table 1 Light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4"/>
    <w:basedOn w:val="8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5">
    <w:name w:val="Grid Table 4 - Accent 1"/>
    <w:basedOn w:val="8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6">
    <w:name w:val="Grid Table 4 - Accent 2"/>
    <w:basedOn w:val="8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7">
    <w:name w:val="Grid Table 4 - Accent 3"/>
    <w:basedOn w:val="8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8">
    <w:name w:val="Grid Table 4 - Accent 4"/>
    <w:basedOn w:val="8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9">
    <w:name w:val="Grid Table 4 - Accent 5"/>
    <w:basedOn w:val="8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0">
    <w:name w:val="Grid Table 4 - Accent 6"/>
    <w:basedOn w:val="86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1">
    <w:name w:val="Grid Table 5 Dark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2">
    <w:name w:val="Grid Table 5 Dark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63">
    <w:name w:val="Grid Table 5 Dark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65">
    <w:name w:val="Grid Table 5 Dark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66">
    <w:name w:val="Grid Table 5 Dark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68">
    <w:name w:val="Grid Table 6 Colorful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9">
    <w:name w:val="Grid Table 6 Colorful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0">
    <w:name w:val="Grid Table 6 Colorful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1">
    <w:name w:val="Grid Table 6 Colorful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2">
    <w:name w:val="Grid Table 6 Colorful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3">
    <w:name w:val="Grid Table 6 Colorful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4">
    <w:name w:val="Grid Table 6 Colorful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5">
    <w:name w:val="Grid Table 7 Colorful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0">
    <w:name w:val="List Table 2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1">
    <w:name w:val="List Table 2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2">
    <w:name w:val="List Table 2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3">
    <w:name w:val="List Table 2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4">
    <w:name w:val="List Table 2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5">
    <w:name w:val="List Table 2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6">
    <w:name w:val="List Table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5 Dark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6 Colorful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8">
    <w:name w:val="List Table 6 Colorful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9">
    <w:name w:val="List Table 6 Colorful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0">
    <w:name w:val="List Table 6 Colorful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1">
    <w:name w:val="List Table 6 Colorful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2">
    <w:name w:val="List Table 6 Colorful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3">
    <w:name w:val="List Table 6 Colorful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4">
    <w:name w:val="List Table 7 Colorful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5">
    <w:name w:val="List Table 7 Colorful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826">
    <w:name w:val="List Table 7 Colorful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27">
    <w:name w:val="List Table 7 Colorful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28">
    <w:name w:val="List Table 7 Colorful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29">
    <w:name w:val="List Table 7 Colorful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830">
    <w:name w:val="List Table 7 Colorful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31">
    <w:name w:val="Lined - Accent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2">
    <w:name w:val="Lined - Accent 1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33">
    <w:name w:val="Lined - Accent 2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4">
    <w:name w:val="Lined - Accent 3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5">
    <w:name w:val="Lined - Accent 4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6">
    <w:name w:val="Lined - Accent 5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37">
    <w:name w:val="Lined - Accent 6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8">
    <w:name w:val="Bordered &amp; Lined - Accent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9">
    <w:name w:val="Bordered &amp; Lined - Accent 1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840">
    <w:name w:val="Bordered &amp; Lined - Accent 2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1">
    <w:name w:val="Bordered &amp; Lined - Accent 3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2">
    <w:name w:val="Bordered &amp; Lined - Accent 4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3">
    <w:name w:val="Bordered &amp; Lined - Accent 5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844">
    <w:name w:val="Bordered &amp; Lined - Accent 6"/>
    <w:basedOn w:val="86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5">
    <w:name w:val="Bordered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6">
    <w:name w:val="Bordered - Accent 1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7">
    <w:name w:val="Bordered - Accent 2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8">
    <w:name w:val="Bordered - Accent 3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9">
    <w:name w:val="Bordered - Accent 4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0">
    <w:name w:val="Bordered - Accent 5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1">
    <w:name w:val="Bordered - Accent 6"/>
    <w:basedOn w:val="86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2">
    <w:name w:val="Footnote Text Char"/>
    <w:link w:val="871"/>
    <w:uiPriority w:val="99"/>
    <w:rPr>
      <w:sz w:val="18"/>
    </w:rPr>
  </w:style>
  <w:style w:type="character" w:styleId="853">
    <w:name w:val="Endnote Text Char"/>
    <w:link w:val="965"/>
    <w:uiPriority w:val="99"/>
    <w:rPr>
      <w:sz w:val="20"/>
    </w:rPr>
  </w:style>
  <w:style w:type="paragraph" w:styleId="854">
    <w:name w:val="table of figures"/>
    <w:basedOn w:val="855"/>
    <w:next w:val="855"/>
    <w:uiPriority w:val="99"/>
    <w:unhideWhenUsed/>
    <w:pPr>
      <w:spacing w:after="0" w:afterAutospacing="0"/>
    </w:pPr>
  </w:style>
  <w:style w:type="paragraph" w:styleId="855" w:default="1">
    <w:name w:val="Normal"/>
    <w:qFormat/>
    <w:rPr>
      <w:sz w:val="28"/>
      <w:szCs w:val="28"/>
    </w:rPr>
  </w:style>
  <w:style w:type="paragraph" w:styleId="856">
    <w:name w:val="Heading 1"/>
    <w:basedOn w:val="858"/>
    <w:next w:val="855"/>
    <w:link w:val="909"/>
    <w:qFormat/>
    <w:pPr>
      <w:numPr>
        <w:ilvl w:val="0"/>
      </w:numPr>
      <w:outlineLvl w:val="0"/>
    </w:pPr>
    <w:rPr>
      <w:sz w:val="28"/>
      <w:szCs w:val="28"/>
    </w:rPr>
  </w:style>
  <w:style w:type="paragraph" w:styleId="857">
    <w:name w:val="Heading 2"/>
    <w:basedOn w:val="859"/>
    <w:next w:val="855"/>
    <w:link w:val="911"/>
    <w:qFormat/>
    <w:pPr>
      <w:outlineLvl w:val="1"/>
    </w:pPr>
  </w:style>
  <w:style w:type="paragraph" w:styleId="858">
    <w:name w:val="Heading 3"/>
    <w:basedOn w:val="855"/>
    <w:next w:val="855"/>
    <w:link w:val="912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59">
    <w:name w:val="Heading 4"/>
    <w:basedOn w:val="858"/>
    <w:next w:val="855"/>
    <w:link w:val="913"/>
    <w:qFormat/>
    <w:pPr>
      <w:numPr>
        <w:ilvl w:val="1"/>
      </w:numPr>
      <w:outlineLvl w:val="3"/>
    </w:pPr>
    <w:rPr>
      <w:bCs/>
    </w:rPr>
  </w:style>
  <w:style w:type="paragraph" w:styleId="860">
    <w:name w:val="Heading 5"/>
    <w:basedOn w:val="855"/>
    <w:next w:val="855"/>
    <w:link w:val="914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61">
    <w:name w:val="Heading 6"/>
    <w:basedOn w:val="855"/>
    <w:next w:val="855"/>
    <w:link w:val="906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862">
    <w:name w:val="Heading 7"/>
    <w:basedOn w:val="855"/>
    <w:next w:val="855"/>
    <w:link w:val="907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63">
    <w:name w:val="Heading 8"/>
    <w:basedOn w:val="855"/>
    <w:next w:val="855"/>
    <w:link w:val="908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864">
    <w:name w:val="Heading 9"/>
    <w:basedOn w:val="855"/>
    <w:next w:val="855"/>
    <w:link w:val="915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865" w:default="1">
    <w:name w:val="Default Paragraph Font"/>
    <w:uiPriority w:val="1"/>
    <w:semiHidden/>
    <w:unhideWhenUsed/>
  </w:style>
  <w:style w:type="table" w:styleId="86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7" w:default="1">
    <w:name w:val="No List"/>
    <w:uiPriority w:val="99"/>
    <w:semiHidden/>
    <w:unhideWhenUsed/>
  </w:style>
  <w:style w:type="paragraph" w:styleId="868" w:customStyle="1">
    <w:name w:val="Название раздела инструкции"/>
    <w:basedOn w:val="855"/>
    <w:pPr>
      <w:jc w:val="center"/>
    </w:pPr>
    <w:rPr>
      <w:b/>
    </w:rPr>
  </w:style>
  <w:style w:type="paragraph" w:styleId="869" w:customStyle="1">
    <w:name w:val="Раздел положения"/>
    <w:basedOn w:val="855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870" w:customStyle="1">
    <w:name w:val="Подраздел раздела положения"/>
    <w:basedOn w:val="855"/>
    <w:pPr>
      <w:numPr>
        <w:ilvl w:val="1"/>
        <w:numId w:val="1"/>
      </w:numPr>
      <w:jc w:val="both"/>
      <w:spacing w:before="80" w:after="80"/>
    </w:pPr>
  </w:style>
  <w:style w:type="paragraph" w:styleId="871">
    <w:name w:val="footnote text"/>
    <w:basedOn w:val="855"/>
    <w:link w:val="945"/>
    <w:uiPriority w:val="99"/>
    <w:rPr>
      <w:sz w:val="20"/>
      <w:szCs w:val="20"/>
    </w:rPr>
  </w:style>
  <w:style w:type="character" w:styleId="872">
    <w:name w:val="footnote reference"/>
    <w:rPr>
      <w:vertAlign w:val="superscript"/>
    </w:rPr>
  </w:style>
  <w:style w:type="paragraph" w:styleId="873" w:customStyle="1">
    <w:name w:val="Шапка 1"/>
    <w:basedOn w:val="855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874" w:customStyle="1">
    <w:name w:val="Шапка 2"/>
    <w:basedOn w:val="855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875" w:customStyle="1">
    <w:name w:val="Шапка 3"/>
    <w:basedOn w:val="855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876" w:customStyle="1">
    <w:name w:val="Название1"/>
    <w:basedOn w:val="855"/>
    <w:link w:val="918"/>
    <w:uiPriority w:val="10"/>
    <w:qFormat/>
    <w:pPr>
      <w:jc w:val="center"/>
    </w:pPr>
    <w:rPr>
      <w:szCs w:val="20"/>
    </w:rPr>
  </w:style>
  <w:style w:type="paragraph" w:styleId="877">
    <w:name w:val="Header"/>
    <w:basedOn w:val="855"/>
    <w:link w:val="962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878">
    <w:name w:val="Body Text Indent"/>
    <w:basedOn w:val="855"/>
    <w:pPr>
      <w:ind w:left="360"/>
    </w:pPr>
    <w:rPr>
      <w:sz w:val="24"/>
      <w:szCs w:val="24"/>
    </w:rPr>
  </w:style>
  <w:style w:type="table" w:styleId="879">
    <w:name w:val="Table Grid"/>
    <w:basedOn w:val="866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80">
    <w:name w:val="Footer"/>
    <w:basedOn w:val="855"/>
    <w:pPr>
      <w:tabs>
        <w:tab w:val="center" w:pos="4677" w:leader="none"/>
        <w:tab w:val="right" w:pos="9355" w:leader="none"/>
      </w:tabs>
    </w:pPr>
  </w:style>
  <w:style w:type="paragraph" w:styleId="881">
    <w:name w:val="Body Text"/>
    <w:basedOn w:val="855"/>
    <w:link w:val="948"/>
    <w:pPr>
      <w:spacing w:after="120"/>
    </w:pPr>
  </w:style>
  <w:style w:type="paragraph" w:styleId="882">
    <w:name w:val="Body Text Indent 2"/>
    <w:basedOn w:val="855"/>
    <w:pPr>
      <w:ind w:left="283"/>
      <w:spacing w:after="120" w:line="480" w:lineRule="auto"/>
    </w:pPr>
  </w:style>
  <w:style w:type="paragraph" w:styleId="883">
    <w:name w:val="Body Text 3"/>
    <w:basedOn w:val="855"/>
    <w:pPr>
      <w:spacing w:after="120"/>
    </w:pPr>
    <w:rPr>
      <w:sz w:val="16"/>
      <w:szCs w:val="16"/>
    </w:rPr>
  </w:style>
  <w:style w:type="paragraph" w:styleId="884">
    <w:name w:val="Body Text Indent 3"/>
    <w:basedOn w:val="855"/>
    <w:link w:val="979"/>
    <w:pPr>
      <w:ind w:left="283"/>
      <w:spacing w:after="120"/>
    </w:pPr>
    <w:rPr>
      <w:sz w:val="16"/>
      <w:szCs w:val="16"/>
    </w:rPr>
  </w:style>
  <w:style w:type="paragraph" w:styleId="885">
    <w:name w:val="Body Text 2"/>
    <w:basedOn w:val="855"/>
    <w:pPr>
      <w:spacing w:after="120" w:line="480" w:lineRule="auto"/>
    </w:pPr>
  </w:style>
  <w:style w:type="paragraph" w:styleId="886">
    <w:name w:val="Block Text"/>
    <w:basedOn w:val="855"/>
    <w:pPr>
      <w:ind w:left="-567" w:right="-766"/>
      <w:jc w:val="center"/>
    </w:pPr>
    <w:rPr>
      <w:b/>
      <w:bCs/>
      <w:sz w:val="24"/>
      <w:szCs w:val="20"/>
    </w:rPr>
  </w:style>
  <w:style w:type="paragraph" w:styleId="887" w:customStyle="1">
    <w:name w:val="Подпункт"/>
    <w:basedOn w:val="855"/>
    <w:link w:val="943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888" w:customStyle="1">
    <w:name w:val="Пункт2"/>
    <w:basedOn w:val="855"/>
    <w:link w:val="969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889">
    <w:name w:val="page number"/>
    <w:basedOn w:val="865"/>
  </w:style>
  <w:style w:type="paragraph" w:styleId="890">
    <w:name w:val="toc 1"/>
    <w:basedOn w:val="855"/>
    <w:next w:val="855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891">
    <w:name w:val="toc 3"/>
    <w:basedOn w:val="855"/>
    <w:next w:val="855"/>
    <w:uiPriority w:val="39"/>
    <w:pPr>
      <w:ind w:left="280"/>
    </w:pPr>
    <w:rPr>
      <w:rFonts w:cstheme="minorHAnsi"/>
      <w:sz w:val="20"/>
      <w:szCs w:val="20"/>
    </w:rPr>
  </w:style>
  <w:style w:type="character" w:styleId="892">
    <w:name w:val="Hyperlink"/>
    <w:uiPriority w:val="99"/>
    <w:rPr>
      <w:color w:val="0000ff"/>
      <w:u w:val="single"/>
    </w:rPr>
  </w:style>
  <w:style w:type="paragraph" w:styleId="893" w:customStyle="1">
    <w:name w:val="Раздел регламента"/>
    <w:basedOn w:val="855"/>
  </w:style>
  <w:style w:type="paragraph" w:styleId="894" w:customStyle="1">
    <w:name w:val="Приложение к регламенту"/>
    <w:basedOn w:val="855"/>
    <w:pPr>
      <w:jc w:val="right"/>
    </w:pPr>
  </w:style>
  <w:style w:type="paragraph" w:styleId="895">
    <w:name w:val="toc 2"/>
    <w:basedOn w:val="855"/>
    <w:next w:val="855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896">
    <w:name w:val="Balloon Text"/>
    <w:basedOn w:val="855"/>
    <w:semiHidden/>
    <w:rPr>
      <w:rFonts w:ascii="Tahoma" w:hAnsi="Tahoma" w:cs="Tahoma"/>
      <w:sz w:val="16"/>
      <w:szCs w:val="16"/>
    </w:rPr>
  </w:style>
  <w:style w:type="character" w:styleId="897">
    <w:name w:val="annotation reference"/>
    <w:uiPriority w:val="99"/>
    <w:semiHidden/>
    <w:rPr>
      <w:sz w:val="16"/>
      <w:szCs w:val="16"/>
    </w:rPr>
  </w:style>
  <w:style w:type="paragraph" w:styleId="898">
    <w:name w:val="annotation text"/>
    <w:basedOn w:val="855"/>
    <w:link w:val="963"/>
    <w:semiHidden/>
    <w:rPr>
      <w:sz w:val="20"/>
      <w:szCs w:val="20"/>
    </w:rPr>
  </w:style>
  <w:style w:type="paragraph" w:styleId="899">
    <w:name w:val="annotation subject"/>
    <w:basedOn w:val="898"/>
    <w:next w:val="898"/>
    <w:semiHidden/>
    <w:rPr>
      <w:b/>
      <w:bCs/>
    </w:rPr>
  </w:style>
  <w:style w:type="paragraph" w:styleId="900" w:customStyle="1">
    <w:name w:val="Обычный (веб)1"/>
    <w:basedOn w:val="855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01">
    <w:name w:val="toc 9"/>
    <w:basedOn w:val="855"/>
    <w:next w:val="855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02">
    <w:name w:val="toc 5"/>
    <w:basedOn w:val="855"/>
    <w:next w:val="855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03">
    <w:name w:val="toc 4"/>
    <w:basedOn w:val="855"/>
    <w:next w:val="855"/>
    <w:uiPriority w:val="39"/>
    <w:pPr>
      <w:ind w:left="560"/>
    </w:pPr>
    <w:rPr>
      <w:rFonts w:cstheme="minorHAnsi"/>
      <w:sz w:val="20"/>
      <w:szCs w:val="20"/>
    </w:rPr>
  </w:style>
  <w:style w:type="paragraph" w:styleId="904" w:customStyle="1">
    <w:name w:val="Раздел положения 2"/>
    <w:basedOn w:val="855"/>
    <w:pPr>
      <w:jc w:val="both"/>
      <w:pageBreakBefore/>
      <w:outlineLvl w:val="0"/>
    </w:pPr>
    <w:rPr>
      <w:b/>
    </w:rPr>
  </w:style>
  <w:style w:type="character" w:styleId="905">
    <w:name w:val="Strong"/>
    <w:qFormat/>
    <w:rPr>
      <w:b/>
      <w:bCs/>
    </w:rPr>
  </w:style>
  <w:style w:type="character" w:styleId="906" w:customStyle="1">
    <w:name w:val="Заголовок 6 Знак"/>
    <w:link w:val="861"/>
    <w:uiPriority w:val="9"/>
    <w:rPr>
      <w:rFonts w:ascii="Cambria" w:hAnsi="Cambria"/>
      <w:i/>
      <w:iCs/>
      <w:color w:val="243f60"/>
    </w:rPr>
  </w:style>
  <w:style w:type="character" w:styleId="907" w:customStyle="1">
    <w:name w:val="Заголовок 7 Знак"/>
    <w:link w:val="862"/>
    <w:uiPriority w:val="9"/>
    <w:rPr>
      <w:rFonts w:ascii="Cambria" w:hAnsi="Cambria"/>
      <w:i/>
      <w:iCs/>
      <w:color w:val="404040"/>
    </w:rPr>
  </w:style>
  <w:style w:type="character" w:styleId="908" w:customStyle="1">
    <w:name w:val="Заголовок 8 Знак"/>
    <w:link w:val="863"/>
    <w:uiPriority w:val="9"/>
    <w:rPr>
      <w:rFonts w:ascii="Cambria" w:hAnsi="Cambria"/>
      <w:color w:val="4f81bd"/>
    </w:rPr>
  </w:style>
  <w:style w:type="character" w:styleId="909" w:customStyle="1">
    <w:name w:val="Заголовок 1 Знак"/>
    <w:link w:val="856"/>
    <w:rPr>
      <w:rFonts w:eastAsia="Calibri"/>
      <w:b/>
      <w:sz w:val="28"/>
      <w:szCs w:val="28"/>
    </w:rPr>
  </w:style>
  <w:style w:type="paragraph" w:styleId="910" w:customStyle="1">
    <w:name w:val="Знак Знак Знак Знак Знак Знак Знак Знак Знак"/>
    <w:basedOn w:val="855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11" w:customStyle="1">
    <w:name w:val="Заголовок 2 Знак"/>
    <w:link w:val="857"/>
    <w:rPr>
      <w:rFonts w:eastAsia="Calibri"/>
      <w:b/>
      <w:bCs/>
      <w:sz w:val="24"/>
      <w:szCs w:val="24"/>
    </w:rPr>
  </w:style>
  <w:style w:type="character" w:styleId="912" w:customStyle="1">
    <w:name w:val="Заголовок 3 Знак"/>
    <w:link w:val="858"/>
    <w:rPr>
      <w:rFonts w:eastAsia="Calibri"/>
      <w:b/>
      <w:sz w:val="24"/>
      <w:szCs w:val="24"/>
    </w:rPr>
  </w:style>
  <w:style w:type="character" w:styleId="913" w:customStyle="1">
    <w:name w:val="Заголовок 4 Знак"/>
    <w:link w:val="859"/>
    <w:rPr>
      <w:rFonts w:eastAsia="Calibri"/>
      <w:b/>
      <w:bCs/>
      <w:sz w:val="24"/>
      <w:szCs w:val="24"/>
    </w:rPr>
  </w:style>
  <w:style w:type="character" w:styleId="914" w:customStyle="1">
    <w:name w:val="Заголовок 5 Знак"/>
    <w:link w:val="860"/>
    <w:uiPriority w:val="9"/>
    <w:rPr>
      <w:b/>
      <w:bCs/>
      <w:i/>
      <w:iCs/>
      <w:sz w:val="26"/>
      <w:szCs w:val="26"/>
    </w:rPr>
  </w:style>
  <w:style w:type="character" w:styleId="915" w:customStyle="1">
    <w:name w:val="Заголовок 9 Знак"/>
    <w:link w:val="864"/>
    <w:uiPriority w:val="9"/>
    <w:rPr>
      <w:rFonts w:ascii="Arial" w:hAnsi="Arial" w:cs="Arial"/>
      <w:sz w:val="22"/>
      <w:szCs w:val="22"/>
    </w:rPr>
  </w:style>
  <w:style w:type="paragraph" w:styleId="916">
    <w:name w:val="No Spacing"/>
    <w:basedOn w:val="855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17">
    <w:name w:val="Caption"/>
    <w:basedOn w:val="855"/>
    <w:next w:val="855"/>
    <w:link w:val="726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18" w:customStyle="1">
    <w:name w:val="Название Знак"/>
    <w:link w:val="876"/>
    <w:uiPriority w:val="10"/>
    <w:rPr>
      <w:sz w:val="28"/>
    </w:rPr>
  </w:style>
  <w:style w:type="paragraph" w:styleId="919">
    <w:name w:val="Subtitle"/>
    <w:basedOn w:val="855"/>
    <w:next w:val="855"/>
    <w:link w:val="920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20" w:customStyle="1">
    <w:name w:val="Подзаголовок Знак"/>
    <w:link w:val="919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21">
    <w:name w:val="Emphasis"/>
    <w:uiPriority w:val="20"/>
    <w:qFormat/>
    <w:rPr>
      <w:i/>
      <w:iCs/>
    </w:rPr>
  </w:style>
  <w:style w:type="paragraph" w:styleId="922">
    <w:name w:val="List Paragraph"/>
    <w:basedOn w:val="855"/>
    <w:link w:val="952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23">
    <w:name w:val="Quote"/>
    <w:basedOn w:val="855"/>
    <w:next w:val="855"/>
    <w:link w:val="924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24" w:customStyle="1">
    <w:name w:val="Цитата 2 Знак"/>
    <w:link w:val="923"/>
    <w:uiPriority w:val="29"/>
    <w:rPr>
      <w:rFonts w:ascii="Calibri" w:hAnsi="Calibri" w:eastAsia="Calibri"/>
      <w:i/>
      <w:iCs/>
      <w:color w:val="000000"/>
    </w:rPr>
  </w:style>
  <w:style w:type="paragraph" w:styleId="925">
    <w:name w:val="Intense Quote"/>
    <w:basedOn w:val="855"/>
    <w:next w:val="855"/>
    <w:link w:val="926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26" w:customStyle="1">
    <w:name w:val="Выделенная цитата Знак"/>
    <w:link w:val="925"/>
    <w:uiPriority w:val="30"/>
    <w:rPr>
      <w:rFonts w:ascii="Calibri" w:hAnsi="Calibri" w:eastAsia="Calibri"/>
      <w:b/>
      <w:bCs/>
      <w:i/>
      <w:iCs/>
      <w:color w:val="4f81bd"/>
    </w:rPr>
  </w:style>
  <w:style w:type="character" w:styleId="927">
    <w:name w:val="Subtle Emphasis"/>
    <w:uiPriority w:val="19"/>
    <w:qFormat/>
    <w:rPr>
      <w:i/>
      <w:iCs/>
      <w:color w:val="808080"/>
    </w:rPr>
  </w:style>
  <w:style w:type="character" w:styleId="928">
    <w:name w:val="Intense Emphasis"/>
    <w:uiPriority w:val="21"/>
    <w:qFormat/>
    <w:rPr>
      <w:b/>
      <w:bCs/>
      <w:i/>
      <w:iCs/>
      <w:color w:val="4f81bd"/>
    </w:rPr>
  </w:style>
  <w:style w:type="character" w:styleId="929">
    <w:name w:val="Subtle Reference"/>
    <w:uiPriority w:val="31"/>
    <w:qFormat/>
    <w:rPr>
      <w:smallCaps/>
      <w:color w:val="c0504d"/>
      <w:u w:val="single"/>
    </w:rPr>
  </w:style>
  <w:style w:type="character" w:styleId="930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31">
    <w:name w:val="Book Title"/>
    <w:uiPriority w:val="33"/>
    <w:qFormat/>
    <w:rPr>
      <w:b/>
      <w:bCs/>
      <w:smallCaps/>
      <w:spacing w:val="5"/>
    </w:rPr>
  </w:style>
  <w:style w:type="paragraph" w:styleId="932">
    <w:name w:val="TOC Heading"/>
    <w:basedOn w:val="856"/>
    <w:next w:val="855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33">
    <w:name w:val="E-mail Signature"/>
    <w:basedOn w:val="855"/>
    <w:link w:val="934"/>
    <w:uiPriority w:val="99"/>
    <w:unhideWhenUsed/>
    <w:rPr>
      <w:rFonts w:eastAsia="Calibri"/>
      <w:sz w:val="24"/>
      <w:szCs w:val="24"/>
    </w:rPr>
  </w:style>
  <w:style w:type="character" w:styleId="934" w:customStyle="1">
    <w:name w:val="Электронная подпись Знак"/>
    <w:link w:val="933"/>
    <w:uiPriority w:val="99"/>
    <w:rPr>
      <w:rFonts w:eastAsia="Calibri"/>
      <w:sz w:val="24"/>
      <w:szCs w:val="24"/>
    </w:rPr>
  </w:style>
  <w:style w:type="paragraph" w:styleId="935" w:customStyle="1">
    <w:name w:val="Знак"/>
    <w:basedOn w:val="85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36" w:customStyle="1">
    <w:name w:val="Нумерованный список ур3"/>
    <w:basedOn w:val="855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37" w:customStyle="1">
    <w:name w:val="Нумерованный список 1"/>
    <w:basedOn w:val="855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38" w:customStyle="1">
    <w:name w:val="Нумерованный список ур2"/>
    <w:basedOn w:val="855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39">
    <w:name w:val="Revision"/>
    <w:hidden/>
    <w:uiPriority w:val="99"/>
    <w:semiHidden/>
    <w:rPr>
      <w:rFonts w:eastAsia="Calibri"/>
      <w:sz w:val="24"/>
      <w:szCs w:val="24"/>
    </w:rPr>
  </w:style>
  <w:style w:type="paragraph" w:styleId="940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41" w:customStyle="1">
    <w:name w:val="Знак Знак3 Знак Знак"/>
    <w:basedOn w:val="855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42" w:customStyle="1">
    <w:name w:val="Пункт"/>
    <w:basedOn w:val="855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43" w:customStyle="1">
    <w:name w:val="Подпункт Знак1"/>
    <w:link w:val="887"/>
    <w:rPr>
      <w:sz w:val="28"/>
    </w:rPr>
  </w:style>
  <w:style w:type="paragraph" w:styleId="944" w:customStyle="1">
    <w:name w:val="Абзац списка1"/>
    <w:basedOn w:val="855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45" w:customStyle="1">
    <w:name w:val="Текст сноски Знак"/>
    <w:link w:val="871"/>
    <w:uiPriority w:val="99"/>
  </w:style>
  <w:style w:type="numbering" w:styleId="946" w:customStyle="1">
    <w:name w:val="Стиль1"/>
    <w:uiPriority w:val="99"/>
    <w:pPr>
      <w:numPr>
        <w:ilvl w:val="0"/>
        <w:numId w:val="3"/>
      </w:numPr>
    </w:pPr>
  </w:style>
  <w:style w:type="paragraph" w:styleId="947" w:customStyle="1">
    <w:name w:val="Таблица"/>
    <w:basedOn w:val="855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48" w:customStyle="1">
    <w:name w:val="Основной текст Знак"/>
    <w:link w:val="881"/>
    <w:rPr>
      <w:sz w:val="28"/>
      <w:szCs w:val="28"/>
    </w:rPr>
  </w:style>
  <w:style w:type="character" w:styleId="949" w:customStyle="1">
    <w:name w:val="blk"/>
  </w:style>
  <w:style w:type="numbering" w:styleId="950" w:customStyle="1">
    <w:name w:val="Стиль2"/>
    <w:uiPriority w:val="99"/>
    <w:pPr>
      <w:numPr>
        <w:ilvl w:val="0"/>
        <w:numId w:val="5"/>
      </w:numPr>
    </w:pPr>
  </w:style>
  <w:style w:type="paragraph" w:styleId="951" w:customStyle="1">
    <w:name w:val="Таблица шапка"/>
    <w:basedOn w:val="855"/>
    <w:pPr>
      <w:ind w:left="57" w:right="57"/>
      <w:keepNext/>
      <w:spacing w:before="40" w:after="40"/>
    </w:pPr>
    <w:rPr>
      <w:sz w:val="22"/>
      <w:szCs w:val="26"/>
    </w:rPr>
  </w:style>
  <w:style w:type="character" w:styleId="952" w:customStyle="1">
    <w:name w:val="Абзац списка Знак"/>
    <w:link w:val="922"/>
    <w:uiPriority w:val="34"/>
    <w:rPr>
      <w:rFonts w:eastAsia="Calibri"/>
      <w:sz w:val="24"/>
      <w:szCs w:val="24"/>
    </w:rPr>
  </w:style>
  <w:style w:type="character" w:styleId="953" w:customStyle="1">
    <w:name w:val="комментарий"/>
    <w:rPr>
      <w:b/>
      <w:i/>
      <w:shd w:val="clear" w:color="auto" w:fill="ffff99"/>
    </w:rPr>
  </w:style>
  <w:style w:type="paragraph" w:styleId="954" w:customStyle="1">
    <w:name w:val="Подподпункт"/>
    <w:basedOn w:val="887"/>
    <w:link w:val="955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955" w:customStyle="1">
    <w:name w:val="Подподпункт Знак"/>
    <w:link w:val="954"/>
    <w:rPr>
      <w:sz w:val="26"/>
      <w:szCs w:val="26"/>
    </w:rPr>
  </w:style>
  <w:style w:type="paragraph" w:styleId="956" w:customStyle="1">
    <w:name w:val="УРОВЕНЬ_(а)"/>
    <w:basedOn w:val="922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57" w:customStyle="1">
    <w:name w:val="УРОВЕНЬ_-"/>
    <w:basedOn w:val="922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58" w:customStyle="1">
    <w:name w:val="УРОВЕНЬ_Абзац_тип2"/>
    <w:basedOn w:val="922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59" w:customStyle="1">
    <w:name w:val="УРОВЕНЬ_Абзац_тип3"/>
    <w:basedOn w:val="922"/>
    <w:link w:val="961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60" w:customStyle="1">
    <w:name w:val="УРОВЕНЬ_Подпись"/>
    <w:basedOn w:val="922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61" w:customStyle="1">
    <w:name w:val="УРОВЕНЬ_Абзац_тип3 Знак"/>
    <w:link w:val="959"/>
    <w:rPr>
      <w:rFonts w:eastAsia="Calibri"/>
      <w:sz w:val="26"/>
      <w:szCs w:val="28"/>
      <w:lang w:eastAsia="en-US"/>
    </w:rPr>
  </w:style>
  <w:style w:type="character" w:styleId="962" w:customStyle="1">
    <w:name w:val="Верхний колонтитул Знак"/>
    <w:link w:val="877"/>
    <w:uiPriority w:val="99"/>
    <w:rPr>
      <w:sz w:val="24"/>
      <w:szCs w:val="24"/>
    </w:rPr>
  </w:style>
  <w:style w:type="character" w:styleId="963" w:customStyle="1">
    <w:name w:val="Текст примечания Знак"/>
    <w:link w:val="898"/>
    <w:semiHidden/>
  </w:style>
  <w:style w:type="paragraph" w:styleId="964" w:customStyle="1">
    <w:name w:val="Стиль Заголовок 1 + по ширине"/>
    <w:basedOn w:val="856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965">
    <w:name w:val="endnote text"/>
    <w:basedOn w:val="855"/>
    <w:link w:val="966"/>
    <w:rPr>
      <w:sz w:val="20"/>
      <w:szCs w:val="20"/>
    </w:rPr>
  </w:style>
  <w:style w:type="character" w:styleId="966" w:customStyle="1">
    <w:name w:val="Текст концевой сноски Знак"/>
    <w:basedOn w:val="865"/>
    <w:link w:val="965"/>
  </w:style>
  <w:style w:type="character" w:styleId="967">
    <w:name w:val="endnote reference"/>
    <w:basedOn w:val="865"/>
    <w:rPr>
      <w:vertAlign w:val="superscript"/>
    </w:rPr>
  </w:style>
  <w:style w:type="paragraph" w:styleId="968" w:customStyle="1">
    <w:name w:val="Заголовок 2 КВВ"/>
    <w:basedOn w:val="855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969" w:customStyle="1">
    <w:name w:val="Пункт2 Знак"/>
    <w:link w:val="888"/>
    <w:rPr>
      <w:b/>
      <w:sz w:val="28"/>
    </w:rPr>
  </w:style>
  <w:style w:type="paragraph" w:styleId="970" w:customStyle="1">
    <w:name w:val="Таблица текст"/>
    <w:basedOn w:val="855"/>
    <w:pPr>
      <w:ind w:left="57" w:right="57"/>
      <w:spacing w:before="40" w:after="40"/>
    </w:pPr>
    <w:rPr>
      <w:sz w:val="24"/>
      <w:szCs w:val="26"/>
    </w:rPr>
  </w:style>
  <w:style w:type="paragraph" w:styleId="971">
    <w:name w:val="Normal (Web)"/>
    <w:basedOn w:val="855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972" w:customStyle="1">
    <w:name w:val="УРОВЕНЬ_1."/>
    <w:basedOn w:val="922"/>
    <w:link w:val="973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973" w:customStyle="1">
    <w:name w:val="УРОВЕНЬ_1. Знак"/>
    <w:link w:val="972"/>
    <w:rPr>
      <w:rFonts w:eastAsia="Calibri"/>
      <w:caps/>
      <w:sz w:val="28"/>
      <w:szCs w:val="28"/>
      <w:lang w:eastAsia="en-US"/>
    </w:rPr>
  </w:style>
  <w:style w:type="table" w:styleId="974" w:customStyle="1">
    <w:name w:val="Сетка таблицы1"/>
    <w:basedOn w:val="866"/>
    <w:next w:val="879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75">
    <w:name w:val="toc 6"/>
    <w:basedOn w:val="855"/>
    <w:next w:val="855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976">
    <w:name w:val="toc 7"/>
    <w:basedOn w:val="855"/>
    <w:next w:val="855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977">
    <w:name w:val="toc 8"/>
    <w:basedOn w:val="855"/>
    <w:next w:val="855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978" w:customStyle="1">
    <w:name w:val="Неразрешенное упоминание1"/>
    <w:basedOn w:val="865"/>
    <w:uiPriority w:val="99"/>
    <w:semiHidden/>
    <w:unhideWhenUsed/>
    <w:rPr>
      <w:color w:val="605e5c"/>
      <w:shd w:val="clear" w:color="auto" w:fill="e1dfdd"/>
    </w:rPr>
  </w:style>
  <w:style w:type="character" w:styleId="979" w:customStyle="1">
    <w:name w:val="Основной текст с отступом 3 Знак"/>
    <w:link w:val="884"/>
    <w:rPr>
      <w:sz w:val="16"/>
      <w:szCs w:val="16"/>
    </w:rPr>
  </w:style>
  <w:style w:type="paragraph" w:styleId="980" w:customStyle="1">
    <w:name w:val="Main 14"/>
    <w:basedOn w:val="951"/>
    <w:uiPriority w:val="99"/>
    <w:qFormat/>
    <w:p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  <w:style w:type="paragraph" w:styleId="981" w:customStyle="1">
    <w:name w:val="Основной текст3"/>
    <w:basedOn w:val="933"/>
    <w:qFormat/>
    <w:pPr>
      <w:contextualSpacing w:val="0"/>
      <w:ind w:left="0" w:right="0" w:firstLine="0"/>
      <w:jc w:val="both"/>
      <w:keepLines w:val="0"/>
      <w:keepNext w:val="0"/>
      <w:pageBreakBefore w:val="0"/>
      <w:spacing w:before="360" w:beforeAutospacing="0" w:after="180" w:afterAutospacing="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1"/>
      <w:szCs w:val="21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982" w:customStyle="1">
    <w:name w:val="ConsNormal"/>
    <w:pPr>
      <w:contextualSpacing w:val="0"/>
      <w:ind w:left="0" w:right="0" w:firstLine="72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Arial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s://login.consultant.ru/link/?req=doc&amp;base=LAW&amp;n=494318&amp;dst=100008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ACEB8-8896-49EA-AC33-B414EA72A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lukyanova_ts</cp:lastModifiedBy>
  <cp:revision>28</cp:revision>
  <dcterms:created xsi:type="dcterms:W3CDTF">2024-03-06T06:31:00Z</dcterms:created>
  <dcterms:modified xsi:type="dcterms:W3CDTF">2026-04-21T23:01:09Z</dcterms:modified>
</cp:coreProperties>
</file>